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EL</w:t>
      </w:r>
    </w:p>
    <w:p w14:paraId="24333E7A" w14:textId="068FF302" w:rsidR="008D696E" w:rsidRDefault="008D696E" w:rsidP="00A33695">
      <w:pPr>
        <w:jc w:val="center"/>
        <w:rPr>
          <w:rFonts w:ascii="Times New Roman" w:hAnsi="Times New Roman"/>
          <w:sz w:val="24"/>
        </w:rPr>
      </w:pPr>
      <w:r>
        <w:rPr>
          <w:rFonts w:ascii="Times New Roman" w:hAnsi="Times New Roman"/>
          <w:sz w:val="24"/>
        </w:rPr>
        <w:t>ΠΑΡΑΡΤΗΜΑ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«ΠΑΡΑΡΤΗΜΑ XI </w:t>
      </w:r>
    </w:p>
    <w:p w14:paraId="2C40683C" w14:textId="0A6110F7" w:rsidR="00436204" w:rsidRPr="00696301" w:rsidRDefault="00D11E4C" w:rsidP="004E7DCF">
      <w:pPr>
        <w:jc w:val="center"/>
        <w:rPr>
          <w:rFonts w:ascii="Times New Roman" w:hAnsi="Times New Roman"/>
          <w:b/>
          <w:sz w:val="24"/>
        </w:rPr>
      </w:pPr>
      <w:r>
        <w:rPr>
          <w:rFonts w:ascii="Times New Roman" w:hAnsi="Times New Roman"/>
          <w:b/>
          <w:sz w:val="24"/>
        </w:rPr>
        <w:t>ΟΔΗΓΙΕΣ ΓΙΑ ΤΗΝ ΥΠΟΒΟΛΗ ΑΝΑΦΟΡΩΝ ΣΧΕΤΙΚΑ ΜΕ ΤΗΝ ΑΠΑΙΤΗΣΗ</w:t>
      </w:r>
      <w:r w:rsidR="00F53AB6">
        <w:rPr>
          <w:rFonts w:ascii="Times New Roman" w:hAnsi="Times New Roman"/>
          <w:b/>
          <w:sz w:val="24"/>
        </w:rPr>
        <w:br/>
      </w:r>
      <w:r>
        <w:rPr>
          <w:rFonts w:ascii="Times New Roman" w:hAnsi="Times New Roman"/>
          <w:b/>
          <w:sz w:val="24"/>
        </w:rPr>
        <w:t>Π</w:t>
      </w:r>
      <w:r w:rsidR="00F53AB6">
        <w:rPr>
          <w:rFonts w:ascii="Times New Roman" w:hAnsi="Times New Roman"/>
          <w:b/>
          <w:sz w:val="24"/>
        </w:rPr>
        <w:t>Α</w:t>
      </w:r>
      <w:r>
        <w:rPr>
          <w:rFonts w:ascii="Times New Roman" w:hAnsi="Times New Roman"/>
          <w:b/>
          <w:sz w:val="24"/>
        </w:rPr>
        <w:t>ΡΑΓΟΝΤΑ Κ RtM ΜΕ ΒΑΣΗ ΤΟΝ ΠΑΡΑΓΟΝΤΑ K-NPR</w:t>
      </w:r>
    </w:p>
    <w:p w14:paraId="3DEB94EC" w14:textId="77777777" w:rsidR="00783881" w:rsidRPr="00696301" w:rsidRDefault="002648B0" w:rsidP="00487A02">
      <w:pPr>
        <w:pStyle w:val="InstructionsText"/>
      </w:pPr>
      <w:r>
        <w:t>Πίνακας περιεχομένων</w:t>
      </w:r>
    </w:p>
    <w:p w14:paraId="3B91B76B" w14:textId="29E7B4C1" w:rsidR="00F53AB6" w:rsidRDefault="00745369">
      <w:pPr>
        <w:pStyle w:val="TOC2"/>
        <w:rPr>
          <w:rFonts w:asciiTheme="minorHAnsi" w:eastAsiaTheme="minorEastAsia" w:hAnsiTheme="minorHAnsi" w:cstheme="minorBidi"/>
          <w:b w:val="0"/>
          <w:smallCaps w:val="0"/>
          <w:kern w:val="2"/>
          <w:sz w:val="24"/>
          <w:szCs w:val="24"/>
          <w:lang w:val="en-US"/>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14178" w:history="1">
        <w:r w:rsidR="00F53AB6" w:rsidRPr="00A13AE3">
          <w:rPr>
            <w:rStyle w:val="Hyperlink"/>
            <w:rFonts w:ascii="Times New Roman" w:hAnsi="Times New Roman"/>
          </w:rPr>
          <w:t>ΜΕΡΟΣ I: ΓΕΝΙΚΕΣ ΟΔΗΓΙΕΣ</w:t>
        </w:r>
        <w:r w:rsidR="00F53AB6">
          <w:rPr>
            <w:webHidden/>
          </w:rPr>
          <w:tab/>
        </w:r>
        <w:r w:rsidR="00F53AB6">
          <w:rPr>
            <w:webHidden/>
          </w:rPr>
          <w:fldChar w:fldCharType="begin"/>
        </w:r>
        <w:r w:rsidR="00F53AB6">
          <w:rPr>
            <w:webHidden/>
          </w:rPr>
          <w:instrText xml:space="preserve"> PAGEREF _Toc210914178 \h </w:instrText>
        </w:r>
        <w:r w:rsidR="00F53AB6">
          <w:rPr>
            <w:webHidden/>
          </w:rPr>
        </w:r>
        <w:r w:rsidR="00F53AB6">
          <w:rPr>
            <w:webHidden/>
          </w:rPr>
          <w:fldChar w:fldCharType="separate"/>
        </w:r>
        <w:r w:rsidR="00F53AB6">
          <w:rPr>
            <w:webHidden/>
          </w:rPr>
          <w:t>2</w:t>
        </w:r>
        <w:r w:rsidR="00F53AB6">
          <w:rPr>
            <w:webHidden/>
          </w:rPr>
          <w:fldChar w:fldCharType="end"/>
        </w:r>
      </w:hyperlink>
    </w:p>
    <w:p w14:paraId="6036552B" w14:textId="163F0B58"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79" w:history="1">
        <w:r w:rsidRPr="00A13AE3">
          <w:rPr>
            <w:rStyle w:val="Hyperlink"/>
            <w:rFonts w:ascii="Times New Roman" w:hAnsi="Times New Roman"/>
          </w:rPr>
          <w:t>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ΣΥΜΒΑΣΕΙΣ</w:t>
        </w:r>
        <w:r>
          <w:rPr>
            <w:webHidden/>
          </w:rPr>
          <w:tab/>
        </w:r>
        <w:r>
          <w:rPr>
            <w:webHidden/>
          </w:rPr>
          <w:fldChar w:fldCharType="begin"/>
        </w:r>
        <w:r>
          <w:rPr>
            <w:webHidden/>
          </w:rPr>
          <w:instrText xml:space="preserve"> PAGEREF _Toc210914179 \h </w:instrText>
        </w:r>
        <w:r>
          <w:rPr>
            <w:webHidden/>
          </w:rPr>
        </w:r>
        <w:r>
          <w:rPr>
            <w:webHidden/>
          </w:rPr>
          <w:fldChar w:fldCharType="separate"/>
        </w:r>
        <w:r>
          <w:rPr>
            <w:webHidden/>
          </w:rPr>
          <w:t>2</w:t>
        </w:r>
        <w:r>
          <w:rPr>
            <w:webHidden/>
          </w:rPr>
          <w:fldChar w:fldCharType="end"/>
        </w:r>
      </w:hyperlink>
    </w:p>
    <w:p w14:paraId="1F6E2F89" w14:textId="33131296"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0" w:history="1">
        <w:r w:rsidRPr="00A13AE3">
          <w:rPr>
            <w:rStyle w:val="Hyperlink"/>
            <w:rFonts w:ascii="Times New Roman" w:hAnsi="Times New Roman"/>
          </w:rPr>
          <w:t>1.1.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Κανόνες αρίθμησης</w:t>
        </w:r>
        <w:r>
          <w:rPr>
            <w:webHidden/>
          </w:rPr>
          <w:tab/>
        </w:r>
        <w:r>
          <w:rPr>
            <w:webHidden/>
          </w:rPr>
          <w:fldChar w:fldCharType="begin"/>
        </w:r>
        <w:r>
          <w:rPr>
            <w:webHidden/>
          </w:rPr>
          <w:instrText xml:space="preserve"> PAGEREF _Toc210914180 \h </w:instrText>
        </w:r>
        <w:r>
          <w:rPr>
            <w:webHidden/>
          </w:rPr>
        </w:r>
        <w:r>
          <w:rPr>
            <w:webHidden/>
          </w:rPr>
          <w:fldChar w:fldCharType="separate"/>
        </w:r>
        <w:r>
          <w:rPr>
            <w:webHidden/>
          </w:rPr>
          <w:t>2</w:t>
        </w:r>
        <w:r>
          <w:rPr>
            <w:webHidden/>
          </w:rPr>
          <w:fldChar w:fldCharType="end"/>
        </w:r>
      </w:hyperlink>
    </w:p>
    <w:p w14:paraId="6122573C" w14:textId="0E567291"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1" w:history="1">
        <w:r w:rsidRPr="00A13AE3">
          <w:rPr>
            <w:rStyle w:val="Hyperlink"/>
            <w:rFonts w:ascii="Times New Roman" w:hAnsi="Times New Roman"/>
          </w:rPr>
          <w:t>1.2.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_Toc210914181 \h </w:instrText>
        </w:r>
        <w:r>
          <w:rPr>
            <w:webHidden/>
          </w:rPr>
        </w:r>
        <w:r>
          <w:rPr>
            <w:webHidden/>
          </w:rPr>
          <w:fldChar w:fldCharType="separate"/>
        </w:r>
        <w:r>
          <w:rPr>
            <w:webHidden/>
          </w:rPr>
          <w:t>2</w:t>
        </w:r>
        <w:r>
          <w:rPr>
            <w:webHidden/>
          </w:rPr>
          <w:fldChar w:fldCharType="end"/>
        </w:r>
      </w:hyperlink>
    </w:p>
    <w:p w14:paraId="7D798909" w14:textId="5D906CBB"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2" w:history="1">
        <w:r w:rsidRPr="00A13AE3">
          <w:rPr>
            <w:rStyle w:val="Hyperlink"/>
            <w:rFonts w:ascii="Times New Roman" w:hAnsi="Times New Roman"/>
          </w:rPr>
          <w:t>1.3.</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Παραπομπές στον κανονισμό (ΕΕ) αριθ. 575/2013</w:t>
        </w:r>
        <w:r>
          <w:rPr>
            <w:webHidden/>
          </w:rPr>
          <w:tab/>
        </w:r>
        <w:r>
          <w:rPr>
            <w:webHidden/>
          </w:rPr>
          <w:fldChar w:fldCharType="begin"/>
        </w:r>
        <w:r>
          <w:rPr>
            <w:webHidden/>
          </w:rPr>
          <w:instrText xml:space="preserve"> PAGEREF _Toc210914182 \h </w:instrText>
        </w:r>
        <w:r>
          <w:rPr>
            <w:webHidden/>
          </w:rPr>
        </w:r>
        <w:r>
          <w:rPr>
            <w:webHidden/>
          </w:rPr>
          <w:fldChar w:fldCharType="separate"/>
        </w:r>
        <w:r>
          <w:rPr>
            <w:webHidden/>
          </w:rPr>
          <w:t>2</w:t>
        </w:r>
        <w:r>
          <w:rPr>
            <w:webHidden/>
          </w:rPr>
          <w:fldChar w:fldCharType="end"/>
        </w:r>
      </w:hyperlink>
    </w:p>
    <w:p w14:paraId="3A8B2238" w14:textId="7C104377"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3" w:history="1">
        <w:r w:rsidRPr="00A13AE3">
          <w:rPr>
            <w:rStyle w:val="Hyperlink"/>
            <w:rFonts w:ascii="Times New Roman" w:hAnsi="Times New Roman"/>
          </w:rPr>
          <w:t>ΜΕΡΟΣ II: ΟΔΗΓΙΕΣ ΣΧΕΤΙΚΑ ΜΕ ΤΑ ΥΠΟΔΕΙΓΜΑΤΑ: ΥΠΟΔΕΙΓΜΑΤΑ ΚΙΝΔΥΝΟΥ ΑΓΟΡΑΣ</w:t>
        </w:r>
        <w:r>
          <w:rPr>
            <w:webHidden/>
          </w:rPr>
          <w:tab/>
        </w:r>
        <w:r>
          <w:rPr>
            <w:webHidden/>
          </w:rPr>
          <w:fldChar w:fldCharType="begin"/>
        </w:r>
        <w:r>
          <w:rPr>
            <w:webHidden/>
          </w:rPr>
          <w:instrText xml:space="preserve"> PAGEREF _Toc210914183 \h </w:instrText>
        </w:r>
        <w:r>
          <w:rPr>
            <w:webHidden/>
          </w:rPr>
        </w:r>
        <w:r>
          <w:rPr>
            <w:webHidden/>
          </w:rPr>
          <w:fldChar w:fldCharType="separate"/>
        </w:r>
        <w:r>
          <w:rPr>
            <w:webHidden/>
          </w:rPr>
          <w:t>3</w:t>
        </w:r>
        <w:r>
          <w:rPr>
            <w:webHidden/>
          </w:rPr>
          <w:fldChar w:fldCharType="end"/>
        </w:r>
      </w:hyperlink>
    </w:p>
    <w:p w14:paraId="06AC933E" w14:textId="0BDB589A"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4" w:history="1">
        <w:r w:rsidRPr="00A13AE3">
          <w:rPr>
            <w:rStyle w:val="Hyperlink"/>
            <w:rFonts w:ascii="Times New Roman" w:hAnsi="Times New Roman"/>
          </w:rPr>
          <w:t>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_Toc210914184 \h </w:instrText>
        </w:r>
        <w:r>
          <w:rPr>
            <w:webHidden/>
          </w:rPr>
        </w:r>
        <w:r>
          <w:rPr>
            <w:webHidden/>
          </w:rPr>
          <w:fldChar w:fldCharType="separate"/>
        </w:r>
        <w:r>
          <w:rPr>
            <w:webHidden/>
          </w:rPr>
          <w:t>3</w:t>
        </w:r>
        <w:r>
          <w:rPr>
            <w:webHidden/>
          </w:rPr>
          <w:fldChar w:fldCharType="end"/>
        </w:r>
      </w:hyperlink>
    </w:p>
    <w:p w14:paraId="25995D49" w14:textId="3E29A772"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5" w:history="1">
        <w:r w:rsidRPr="00A13AE3">
          <w:rPr>
            <w:rStyle w:val="Hyperlink"/>
            <w:rFonts w:ascii="Times New Roman" w:hAnsi="Times New Roman"/>
          </w:rPr>
          <w:t>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18.00 – Κίνδυνος Αγοράς: Τυποποιημένη προσέγγιση για κινδύνους θέσης σε διαπραγματεύσιμους χρεωστικούς τίτλους (MKR SA TDI)</w:t>
        </w:r>
        <w:r>
          <w:rPr>
            <w:webHidden/>
          </w:rPr>
          <w:tab/>
        </w:r>
        <w:r>
          <w:rPr>
            <w:webHidden/>
          </w:rPr>
          <w:fldChar w:fldCharType="begin"/>
        </w:r>
        <w:r>
          <w:rPr>
            <w:webHidden/>
          </w:rPr>
          <w:instrText xml:space="preserve"> PAGEREF _Toc210914185 \h </w:instrText>
        </w:r>
        <w:r>
          <w:rPr>
            <w:webHidden/>
          </w:rPr>
        </w:r>
        <w:r>
          <w:rPr>
            <w:webHidden/>
          </w:rPr>
          <w:fldChar w:fldCharType="separate"/>
        </w:r>
        <w:r>
          <w:rPr>
            <w:webHidden/>
          </w:rPr>
          <w:t>3</w:t>
        </w:r>
        <w:r>
          <w:rPr>
            <w:webHidden/>
          </w:rPr>
          <w:fldChar w:fldCharType="end"/>
        </w:r>
      </w:hyperlink>
    </w:p>
    <w:p w14:paraId="079C6FFF" w14:textId="1044D6A5"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6" w:history="1">
        <w:r w:rsidRPr="00A13AE3">
          <w:rPr>
            <w:rStyle w:val="Hyperlink"/>
            <w:rFonts w:ascii="Times New Roman" w:hAnsi="Times New Roman"/>
          </w:rPr>
          <w:t>2.1.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_Toc210914186 \h </w:instrText>
        </w:r>
        <w:r>
          <w:rPr>
            <w:webHidden/>
          </w:rPr>
        </w:r>
        <w:r>
          <w:rPr>
            <w:webHidden/>
          </w:rPr>
          <w:fldChar w:fldCharType="separate"/>
        </w:r>
        <w:r>
          <w:rPr>
            <w:webHidden/>
          </w:rPr>
          <w:t>3</w:t>
        </w:r>
        <w:r>
          <w:rPr>
            <w:webHidden/>
          </w:rPr>
          <w:fldChar w:fldCharType="end"/>
        </w:r>
      </w:hyperlink>
    </w:p>
    <w:p w14:paraId="17813F23" w14:textId="14283C83"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7" w:history="1">
        <w:r w:rsidRPr="00A13AE3">
          <w:rPr>
            <w:rStyle w:val="Hyperlink"/>
            <w:rFonts w:ascii="Times New Roman" w:hAnsi="Times New Roman"/>
          </w:rPr>
          <w:t>2.2.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_Toc210914187 \h </w:instrText>
        </w:r>
        <w:r>
          <w:rPr>
            <w:webHidden/>
          </w:rPr>
        </w:r>
        <w:r>
          <w:rPr>
            <w:webHidden/>
          </w:rPr>
          <w:fldChar w:fldCharType="separate"/>
        </w:r>
        <w:r>
          <w:rPr>
            <w:webHidden/>
          </w:rPr>
          <w:t>4</w:t>
        </w:r>
        <w:r>
          <w:rPr>
            <w:webHidden/>
          </w:rPr>
          <w:fldChar w:fldCharType="end"/>
        </w:r>
      </w:hyperlink>
    </w:p>
    <w:p w14:paraId="545FEFB7" w14:textId="5488BB4C"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8" w:history="1">
        <w:r w:rsidRPr="00A13AE3">
          <w:rPr>
            <w:rStyle w:val="Hyperlink"/>
            <w:rFonts w:ascii="Times New Roman" w:hAnsi="Times New Roman"/>
          </w:rPr>
          <w:t>3.</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19.00 – ΚΙΝΔΥΝΟΣ ΑΓΟΡΑΣ: ΤΥΠΟΠΟΙΗΜΕΝΗ ΠΡΟΣΕΓΓΙΣΗ ΓΙΑ ΤΟΝ ΕΙΔΙΚΟ ΚΙΝΔΥΝΟ ΣΕ ΤΙΤΛΟΠΟΙΗΣΕΙΣ (MKR SA SEC)</w:t>
        </w:r>
        <w:r>
          <w:rPr>
            <w:webHidden/>
          </w:rPr>
          <w:tab/>
        </w:r>
        <w:r>
          <w:rPr>
            <w:webHidden/>
          </w:rPr>
          <w:fldChar w:fldCharType="begin"/>
        </w:r>
        <w:r>
          <w:rPr>
            <w:webHidden/>
          </w:rPr>
          <w:instrText xml:space="preserve"> PAGEREF _Toc210914188 \h </w:instrText>
        </w:r>
        <w:r>
          <w:rPr>
            <w:webHidden/>
          </w:rPr>
        </w:r>
        <w:r>
          <w:rPr>
            <w:webHidden/>
          </w:rPr>
          <w:fldChar w:fldCharType="separate"/>
        </w:r>
        <w:r>
          <w:rPr>
            <w:webHidden/>
          </w:rPr>
          <w:t>6</w:t>
        </w:r>
        <w:r>
          <w:rPr>
            <w:webHidden/>
          </w:rPr>
          <w:fldChar w:fldCharType="end"/>
        </w:r>
      </w:hyperlink>
    </w:p>
    <w:p w14:paraId="7F7C1CB0" w14:textId="36D75C82"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89" w:history="1">
        <w:r w:rsidRPr="00A13AE3">
          <w:rPr>
            <w:rStyle w:val="Hyperlink"/>
            <w:rFonts w:ascii="Times New Roman" w:hAnsi="Times New Roman"/>
          </w:rPr>
          <w:t>3.1.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_Toc210914189 \h </w:instrText>
        </w:r>
        <w:r>
          <w:rPr>
            <w:webHidden/>
          </w:rPr>
        </w:r>
        <w:r>
          <w:rPr>
            <w:webHidden/>
          </w:rPr>
          <w:fldChar w:fldCharType="separate"/>
        </w:r>
        <w:r>
          <w:rPr>
            <w:webHidden/>
          </w:rPr>
          <w:t>6</w:t>
        </w:r>
        <w:r>
          <w:rPr>
            <w:webHidden/>
          </w:rPr>
          <w:fldChar w:fldCharType="end"/>
        </w:r>
      </w:hyperlink>
    </w:p>
    <w:p w14:paraId="57658AA4" w14:textId="503666F8"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0" w:history="1">
        <w:r w:rsidRPr="00A13AE3">
          <w:rPr>
            <w:rStyle w:val="Hyperlink"/>
            <w:rFonts w:ascii="Times New Roman" w:hAnsi="Times New Roman"/>
          </w:rPr>
          <w:t>3.2.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_Toc210914190 \h </w:instrText>
        </w:r>
        <w:r>
          <w:rPr>
            <w:webHidden/>
          </w:rPr>
        </w:r>
        <w:r>
          <w:rPr>
            <w:webHidden/>
          </w:rPr>
          <w:fldChar w:fldCharType="separate"/>
        </w:r>
        <w:r>
          <w:rPr>
            <w:webHidden/>
          </w:rPr>
          <w:t>7</w:t>
        </w:r>
        <w:r>
          <w:rPr>
            <w:webHidden/>
          </w:rPr>
          <w:fldChar w:fldCharType="end"/>
        </w:r>
      </w:hyperlink>
    </w:p>
    <w:p w14:paraId="6D849569" w14:textId="616F6A91"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1" w:history="1">
        <w:r w:rsidRPr="00A13AE3">
          <w:rPr>
            <w:rStyle w:val="Hyperlink"/>
            <w:rFonts w:ascii="Times New Roman" w:hAnsi="Times New Roman"/>
          </w:rPr>
          <w:t>4.</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20.00 – ΚΙΝΔΥΝΟΣ ΑΓΟΡΑΣ: ΤΥΠΟΠΟΙΗΜΕΝΗ ΠΡΟΣΕΓΓΙΣΗ ΓΙΑ ΕΙΔΙΚΟ ΚΙΝΔΥΝΟ ΘΕΣΕΩΝ ΣΤΟ ΧΑΡΤΟΦΥΛΑΚΙΟ ΔΙΑΠΡΑΓΜΑΤΕΥΣΗΣ ΣΥΣΧΕΤΙΣΕΩΝ (MKR SA CTP)</w:t>
        </w:r>
        <w:r>
          <w:rPr>
            <w:webHidden/>
          </w:rPr>
          <w:tab/>
        </w:r>
        <w:r>
          <w:rPr>
            <w:webHidden/>
          </w:rPr>
          <w:fldChar w:fldCharType="begin"/>
        </w:r>
        <w:r>
          <w:rPr>
            <w:webHidden/>
          </w:rPr>
          <w:instrText xml:space="preserve"> PAGEREF _Toc210914191 \h </w:instrText>
        </w:r>
        <w:r>
          <w:rPr>
            <w:webHidden/>
          </w:rPr>
        </w:r>
        <w:r>
          <w:rPr>
            <w:webHidden/>
          </w:rPr>
          <w:fldChar w:fldCharType="separate"/>
        </w:r>
        <w:r>
          <w:rPr>
            <w:webHidden/>
          </w:rPr>
          <w:t>9</w:t>
        </w:r>
        <w:r>
          <w:rPr>
            <w:webHidden/>
          </w:rPr>
          <w:fldChar w:fldCharType="end"/>
        </w:r>
      </w:hyperlink>
    </w:p>
    <w:p w14:paraId="1264C333" w14:textId="24A2AFA2"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2" w:history="1">
        <w:r w:rsidRPr="00A13AE3">
          <w:rPr>
            <w:rStyle w:val="Hyperlink"/>
            <w:rFonts w:ascii="Times New Roman" w:hAnsi="Times New Roman"/>
          </w:rPr>
          <w:t>4.1.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_Toc210914192 \h </w:instrText>
        </w:r>
        <w:r>
          <w:rPr>
            <w:webHidden/>
          </w:rPr>
        </w:r>
        <w:r>
          <w:rPr>
            <w:webHidden/>
          </w:rPr>
          <w:fldChar w:fldCharType="separate"/>
        </w:r>
        <w:r>
          <w:rPr>
            <w:webHidden/>
          </w:rPr>
          <w:t>9</w:t>
        </w:r>
        <w:r>
          <w:rPr>
            <w:webHidden/>
          </w:rPr>
          <w:fldChar w:fldCharType="end"/>
        </w:r>
      </w:hyperlink>
    </w:p>
    <w:p w14:paraId="3EA13E4A" w14:textId="7775A856"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3" w:history="1">
        <w:r w:rsidRPr="00A13AE3">
          <w:rPr>
            <w:rStyle w:val="Hyperlink"/>
            <w:rFonts w:ascii="Times New Roman" w:hAnsi="Times New Roman"/>
          </w:rPr>
          <w:t>4.2.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_Toc210914193 \h </w:instrText>
        </w:r>
        <w:r>
          <w:rPr>
            <w:webHidden/>
          </w:rPr>
        </w:r>
        <w:r>
          <w:rPr>
            <w:webHidden/>
          </w:rPr>
          <w:fldChar w:fldCharType="separate"/>
        </w:r>
        <w:r>
          <w:rPr>
            <w:webHidden/>
          </w:rPr>
          <w:t>10</w:t>
        </w:r>
        <w:r>
          <w:rPr>
            <w:webHidden/>
          </w:rPr>
          <w:fldChar w:fldCharType="end"/>
        </w:r>
      </w:hyperlink>
    </w:p>
    <w:p w14:paraId="4ADF70A7" w14:textId="3FA3C0E7"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4" w:history="1">
        <w:r w:rsidRPr="00A13AE3">
          <w:rPr>
            <w:rStyle w:val="Hyperlink"/>
            <w:rFonts w:ascii="Times New Roman" w:hAnsi="Times New Roman"/>
          </w:rPr>
          <w:t>5.</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21.00 – Κίνδυνος Αγοράς: Τυποποιημένη προσέγγιση για τον κίνδυνο θέσης σε μετοχικά κεφάλαια (MKR SA EQU)</w:t>
        </w:r>
        <w:r>
          <w:rPr>
            <w:webHidden/>
          </w:rPr>
          <w:tab/>
        </w:r>
        <w:r>
          <w:rPr>
            <w:webHidden/>
          </w:rPr>
          <w:fldChar w:fldCharType="begin"/>
        </w:r>
        <w:r>
          <w:rPr>
            <w:webHidden/>
          </w:rPr>
          <w:instrText xml:space="preserve"> PAGEREF _Toc210914194 \h </w:instrText>
        </w:r>
        <w:r>
          <w:rPr>
            <w:webHidden/>
          </w:rPr>
        </w:r>
        <w:r>
          <w:rPr>
            <w:webHidden/>
          </w:rPr>
          <w:fldChar w:fldCharType="separate"/>
        </w:r>
        <w:r>
          <w:rPr>
            <w:webHidden/>
          </w:rPr>
          <w:t>13</w:t>
        </w:r>
        <w:r>
          <w:rPr>
            <w:webHidden/>
          </w:rPr>
          <w:fldChar w:fldCharType="end"/>
        </w:r>
      </w:hyperlink>
    </w:p>
    <w:p w14:paraId="78F1935A" w14:textId="12DD5C3C"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5" w:history="1">
        <w:r w:rsidRPr="00A13AE3">
          <w:rPr>
            <w:rStyle w:val="Hyperlink"/>
            <w:rFonts w:ascii="Times New Roman" w:hAnsi="Times New Roman"/>
          </w:rPr>
          <w:t>5.1.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_Toc210914195 \h </w:instrText>
        </w:r>
        <w:r>
          <w:rPr>
            <w:webHidden/>
          </w:rPr>
        </w:r>
        <w:r>
          <w:rPr>
            <w:webHidden/>
          </w:rPr>
          <w:fldChar w:fldCharType="separate"/>
        </w:r>
        <w:r>
          <w:rPr>
            <w:webHidden/>
          </w:rPr>
          <w:t>13</w:t>
        </w:r>
        <w:r>
          <w:rPr>
            <w:webHidden/>
          </w:rPr>
          <w:fldChar w:fldCharType="end"/>
        </w:r>
      </w:hyperlink>
    </w:p>
    <w:p w14:paraId="66AED7FB" w14:textId="320F7805"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6" w:history="1">
        <w:r w:rsidRPr="00A13AE3">
          <w:rPr>
            <w:rStyle w:val="Hyperlink"/>
            <w:rFonts w:ascii="Times New Roman" w:hAnsi="Times New Roman"/>
          </w:rPr>
          <w:t>5.2.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_Toc210914196 \h </w:instrText>
        </w:r>
        <w:r>
          <w:rPr>
            <w:webHidden/>
          </w:rPr>
        </w:r>
        <w:r>
          <w:rPr>
            <w:webHidden/>
          </w:rPr>
          <w:fldChar w:fldCharType="separate"/>
        </w:r>
        <w:r>
          <w:rPr>
            <w:webHidden/>
          </w:rPr>
          <w:t>13</w:t>
        </w:r>
        <w:r>
          <w:rPr>
            <w:webHidden/>
          </w:rPr>
          <w:fldChar w:fldCharType="end"/>
        </w:r>
      </w:hyperlink>
    </w:p>
    <w:p w14:paraId="5CA0B4CA" w14:textId="5F0482AB"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7" w:history="1">
        <w:r w:rsidRPr="00A13AE3">
          <w:rPr>
            <w:rStyle w:val="Hyperlink"/>
            <w:rFonts w:ascii="Times New Roman" w:hAnsi="Times New Roman"/>
          </w:rPr>
          <w:t>6.</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22.00 – Κίνδυνος Αγοράς: Τυποποιημένες προσεγγίσεις για τον κίνδυνο συναλλάγματος (MKR SA FX)</w:t>
        </w:r>
        <w:r>
          <w:rPr>
            <w:webHidden/>
          </w:rPr>
          <w:tab/>
        </w:r>
        <w:r>
          <w:rPr>
            <w:webHidden/>
          </w:rPr>
          <w:fldChar w:fldCharType="begin"/>
        </w:r>
        <w:r>
          <w:rPr>
            <w:webHidden/>
          </w:rPr>
          <w:instrText xml:space="preserve"> PAGEREF _Toc210914197 \h </w:instrText>
        </w:r>
        <w:r>
          <w:rPr>
            <w:webHidden/>
          </w:rPr>
        </w:r>
        <w:r>
          <w:rPr>
            <w:webHidden/>
          </w:rPr>
          <w:fldChar w:fldCharType="separate"/>
        </w:r>
        <w:r>
          <w:rPr>
            <w:webHidden/>
          </w:rPr>
          <w:t>15</w:t>
        </w:r>
        <w:r>
          <w:rPr>
            <w:webHidden/>
          </w:rPr>
          <w:fldChar w:fldCharType="end"/>
        </w:r>
      </w:hyperlink>
    </w:p>
    <w:p w14:paraId="1C4485D9" w14:textId="79D2D66D"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8" w:history="1">
        <w:r w:rsidRPr="00A13AE3">
          <w:rPr>
            <w:rStyle w:val="Hyperlink"/>
            <w:rFonts w:ascii="Times New Roman" w:hAnsi="Times New Roman"/>
          </w:rPr>
          <w:t>6.1.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_Toc210914198 \h </w:instrText>
        </w:r>
        <w:r>
          <w:rPr>
            <w:webHidden/>
          </w:rPr>
        </w:r>
        <w:r>
          <w:rPr>
            <w:webHidden/>
          </w:rPr>
          <w:fldChar w:fldCharType="separate"/>
        </w:r>
        <w:r>
          <w:rPr>
            <w:webHidden/>
          </w:rPr>
          <w:t>15</w:t>
        </w:r>
        <w:r>
          <w:rPr>
            <w:webHidden/>
          </w:rPr>
          <w:fldChar w:fldCharType="end"/>
        </w:r>
      </w:hyperlink>
    </w:p>
    <w:p w14:paraId="0BCF8EDB" w14:textId="789CF18E"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199" w:history="1">
        <w:r w:rsidRPr="00A13AE3">
          <w:rPr>
            <w:rStyle w:val="Hyperlink"/>
            <w:rFonts w:ascii="Times New Roman" w:hAnsi="Times New Roman"/>
          </w:rPr>
          <w:t>6.2.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_Toc210914199 \h </w:instrText>
        </w:r>
        <w:r>
          <w:rPr>
            <w:webHidden/>
          </w:rPr>
        </w:r>
        <w:r>
          <w:rPr>
            <w:webHidden/>
          </w:rPr>
          <w:fldChar w:fldCharType="separate"/>
        </w:r>
        <w:r>
          <w:rPr>
            <w:webHidden/>
          </w:rPr>
          <w:t>16</w:t>
        </w:r>
        <w:r>
          <w:rPr>
            <w:webHidden/>
          </w:rPr>
          <w:fldChar w:fldCharType="end"/>
        </w:r>
      </w:hyperlink>
    </w:p>
    <w:p w14:paraId="34A823CD" w14:textId="5D90C440"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0" w:history="1">
        <w:r w:rsidRPr="00A13AE3">
          <w:rPr>
            <w:rStyle w:val="Hyperlink"/>
            <w:rFonts w:ascii="Times New Roman" w:hAnsi="Times New Roman"/>
          </w:rPr>
          <w:t>7.</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23.00 – Κίνδυνος Αγοράς: Τυποποιημένες προσεγγίσεις για βασικά εμπορεύματα (MKR SA COM)</w:t>
        </w:r>
        <w:r>
          <w:rPr>
            <w:webHidden/>
          </w:rPr>
          <w:tab/>
        </w:r>
        <w:r>
          <w:rPr>
            <w:webHidden/>
          </w:rPr>
          <w:fldChar w:fldCharType="begin"/>
        </w:r>
        <w:r>
          <w:rPr>
            <w:webHidden/>
          </w:rPr>
          <w:instrText xml:space="preserve"> PAGEREF _Toc210914200 \h </w:instrText>
        </w:r>
        <w:r>
          <w:rPr>
            <w:webHidden/>
          </w:rPr>
        </w:r>
        <w:r>
          <w:rPr>
            <w:webHidden/>
          </w:rPr>
          <w:fldChar w:fldCharType="separate"/>
        </w:r>
        <w:r>
          <w:rPr>
            <w:webHidden/>
          </w:rPr>
          <w:t>19</w:t>
        </w:r>
        <w:r>
          <w:rPr>
            <w:webHidden/>
          </w:rPr>
          <w:fldChar w:fldCharType="end"/>
        </w:r>
      </w:hyperlink>
    </w:p>
    <w:p w14:paraId="31724AD0" w14:textId="18DFC073"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1" w:history="1">
        <w:r w:rsidRPr="00A13AE3">
          <w:rPr>
            <w:rStyle w:val="Hyperlink"/>
            <w:rFonts w:ascii="Times New Roman" w:hAnsi="Times New Roman"/>
          </w:rPr>
          <w:t>7.1.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_Toc210914201 \h </w:instrText>
        </w:r>
        <w:r>
          <w:rPr>
            <w:webHidden/>
          </w:rPr>
        </w:r>
        <w:r>
          <w:rPr>
            <w:webHidden/>
          </w:rPr>
          <w:fldChar w:fldCharType="separate"/>
        </w:r>
        <w:r>
          <w:rPr>
            <w:webHidden/>
          </w:rPr>
          <w:t>19</w:t>
        </w:r>
        <w:r>
          <w:rPr>
            <w:webHidden/>
          </w:rPr>
          <w:fldChar w:fldCharType="end"/>
        </w:r>
      </w:hyperlink>
    </w:p>
    <w:p w14:paraId="08ACD127" w14:textId="43D0AE5D"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2" w:history="1">
        <w:r w:rsidRPr="00A13AE3">
          <w:rPr>
            <w:rStyle w:val="Hyperlink"/>
            <w:rFonts w:ascii="Times New Roman" w:hAnsi="Times New Roman"/>
          </w:rPr>
          <w:t>7.2.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_Toc210914202 \h </w:instrText>
        </w:r>
        <w:r>
          <w:rPr>
            <w:webHidden/>
          </w:rPr>
        </w:r>
        <w:r>
          <w:rPr>
            <w:webHidden/>
          </w:rPr>
          <w:fldChar w:fldCharType="separate"/>
        </w:r>
        <w:r>
          <w:rPr>
            <w:webHidden/>
          </w:rPr>
          <w:t>19</w:t>
        </w:r>
        <w:r>
          <w:rPr>
            <w:webHidden/>
          </w:rPr>
          <w:fldChar w:fldCharType="end"/>
        </w:r>
      </w:hyperlink>
    </w:p>
    <w:p w14:paraId="68E0727F" w14:textId="105DF8BA"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3" w:history="1">
        <w:r w:rsidRPr="00A13AE3">
          <w:rPr>
            <w:rStyle w:val="Hyperlink"/>
            <w:rFonts w:ascii="Times New Roman" w:hAnsi="Times New Roman"/>
          </w:rPr>
          <w:t>8.</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C 24.00 – Εσωτερικό υπόδειγμα κινδύνου αγοράς (MKR IM)</w:t>
        </w:r>
        <w:r>
          <w:rPr>
            <w:webHidden/>
          </w:rPr>
          <w:tab/>
        </w:r>
        <w:r>
          <w:rPr>
            <w:webHidden/>
          </w:rPr>
          <w:fldChar w:fldCharType="begin"/>
        </w:r>
        <w:r>
          <w:rPr>
            <w:webHidden/>
          </w:rPr>
          <w:instrText xml:space="preserve"> PAGEREF _Toc210914203 \h </w:instrText>
        </w:r>
        <w:r>
          <w:rPr>
            <w:webHidden/>
          </w:rPr>
        </w:r>
        <w:r>
          <w:rPr>
            <w:webHidden/>
          </w:rPr>
          <w:fldChar w:fldCharType="separate"/>
        </w:r>
        <w:r>
          <w:rPr>
            <w:webHidden/>
          </w:rPr>
          <w:t>21</w:t>
        </w:r>
        <w:r>
          <w:rPr>
            <w:webHidden/>
          </w:rPr>
          <w:fldChar w:fldCharType="end"/>
        </w:r>
      </w:hyperlink>
    </w:p>
    <w:p w14:paraId="05956E39" w14:textId="1AA0C45C"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4" w:history="1">
        <w:r w:rsidRPr="00A13AE3">
          <w:rPr>
            <w:rStyle w:val="Hyperlink"/>
            <w:rFonts w:ascii="Times New Roman" w:hAnsi="Times New Roman"/>
          </w:rPr>
          <w:t>8.1.</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_Toc210914204 \h </w:instrText>
        </w:r>
        <w:r>
          <w:rPr>
            <w:webHidden/>
          </w:rPr>
        </w:r>
        <w:r>
          <w:rPr>
            <w:webHidden/>
          </w:rPr>
          <w:fldChar w:fldCharType="separate"/>
        </w:r>
        <w:r>
          <w:rPr>
            <w:webHidden/>
          </w:rPr>
          <w:t>21</w:t>
        </w:r>
        <w:r>
          <w:rPr>
            <w:webHidden/>
          </w:rPr>
          <w:fldChar w:fldCharType="end"/>
        </w:r>
      </w:hyperlink>
    </w:p>
    <w:p w14:paraId="50B22C64" w14:textId="549980A5" w:rsidR="00F53AB6" w:rsidRDefault="00F53AB6">
      <w:pPr>
        <w:pStyle w:val="TOC2"/>
        <w:rPr>
          <w:rFonts w:asciiTheme="minorHAnsi" w:eastAsiaTheme="minorEastAsia" w:hAnsiTheme="minorHAnsi" w:cstheme="minorBidi"/>
          <w:b w:val="0"/>
          <w:smallCaps w:val="0"/>
          <w:kern w:val="2"/>
          <w:sz w:val="24"/>
          <w:szCs w:val="24"/>
          <w:lang w:val="en-US"/>
          <w14:ligatures w14:val="standardContextual"/>
        </w:rPr>
      </w:pPr>
      <w:hyperlink w:anchor="_Toc210914205" w:history="1">
        <w:r w:rsidRPr="00A13AE3">
          <w:rPr>
            <w:rStyle w:val="Hyperlink"/>
            <w:rFonts w:ascii="Times New Roman" w:hAnsi="Times New Roman"/>
          </w:rPr>
          <w:t>8.2.</w:t>
        </w:r>
        <w:r>
          <w:rPr>
            <w:rFonts w:asciiTheme="minorHAnsi" w:eastAsiaTheme="minorEastAsia" w:hAnsiTheme="minorHAnsi" w:cstheme="minorBidi"/>
            <w:b w:val="0"/>
            <w:smallCaps w:val="0"/>
            <w:kern w:val="2"/>
            <w:sz w:val="24"/>
            <w:szCs w:val="24"/>
            <w:lang w:val="en-US"/>
            <w14:ligatures w14:val="standardContextual"/>
          </w:rPr>
          <w:tab/>
        </w:r>
        <w:r w:rsidRPr="00A13AE3">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_Toc210914205 \h </w:instrText>
        </w:r>
        <w:r>
          <w:rPr>
            <w:webHidden/>
          </w:rPr>
        </w:r>
        <w:r>
          <w:rPr>
            <w:webHidden/>
          </w:rPr>
          <w:fldChar w:fldCharType="separate"/>
        </w:r>
        <w:r>
          <w:rPr>
            <w:webHidden/>
          </w:rPr>
          <w:t>21</w:t>
        </w:r>
        <w:r>
          <w:rPr>
            <w:webHidden/>
          </w:rPr>
          <w:fldChar w:fldCharType="end"/>
        </w:r>
      </w:hyperlink>
    </w:p>
    <w:p w14:paraId="4325A1DC" w14:textId="5E5DCE32"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14178"/>
      <w:r>
        <w:rPr>
          <w:rFonts w:ascii="Times New Roman" w:hAnsi="Times New Roman"/>
        </w:rPr>
        <w:lastRenderedPageBreak/>
        <w:t>ΜΕΡΟΣ I:</w:t>
      </w:r>
      <w:bookmarkEnd w:id="2"/>
      <w:r>
        <w:rPr>
          <w:rFonts w:ascii="Times New Roman" w:hAnsi="Times New Roman"/>
        </w:rPr>
        <w:t xml:space="preserve"> ΓΕΝΙΚΕΣ ΟΔΗΓΙΕΣ</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14179"/>
      <w:r>
        <w:rPr>
          <w:rFonts w:ascii="Times New Roman" w:hAnsi="Times New Roman"/>
          <w:sz w:val="24"/>
          <w:u w:val="none"/>
        </w:rPr>
        <w:t>1.</w:t>
      </w:r>
      <w:r w:rsidRPr="00861C69">
        <w:rPr>
          <w:u w:val="none"/>
        </w:rPr>
        <w:tab/>
      </w:r>
      <w:r>
        <w:rPr>
          <w:rFonts w:ascii="Times New Roman" w:hAnsi="Times New Roman"/>
          <w:sz w:val="24"/>
          <w:u w:val="none"/>
        </w:rPr>
        <w:t>ΣΥΜΒΑΣΕΙΣ</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14180"/>
      <w:bookmarkStart w:id="12" w:name="_Toc264038399"/>
      <w:bookmarkStart w:id="13" w:name="_Toc294018834"/>
      <w:r>
        <w:rPr>
          <w:rFonts w:ascii="Times New Roman" w:hAnsi="Times New Roman"/>
          <w:sz w:val="24"/>
          <w:u w:val="none"/>
        </w:rPr>
        <w:t>1.1.</w:t>
      </w:r>
      <w:r w:rsidRPr="00861C69">
        <w:rPr>
          <w:u w:val="none"/>
        </w:rPr>
        <w:tab/>
      </w:r>
      <w:r>
        <w:rPr>
          <w:rFonts w:ascii="Times New Roman" w:hAnsi="Times New Roman"/>
          <w:sz w:val="24"/>
          <w:u w:val="none"/>
        </w:rPr>
        <w:t>Κανόνες αρίθμησης</w:t>
      </w:r>
      <w:bookmarkEnd w:id="9"/>
      <w:bookmarkEnd w:id="10"/>
      <w:bookmarkEnd w:id="11"/>
    </w:p>
    <w:p w14:paraId="07DD29A3" w14:textId="3ADB010A" w:rsidR="002648B0" w:rsidRPr="002D60D7" w:rsidRDefault="002648B0" w:rsidP="00E172EA">
      <w:pPr>
        <w:pStyle w:val="InstructionsText2"/>
        <w:numPr>
          <w:ilvl w:val="0"/>
          <w:numId w:val="29"/>
        </w:numPr>
        <w:suppressAutoHyphens/>
      </w:pPr>
      <w:r>
        <w:t>Το έγγραφο ακολουθεί τους κανόνες σήμανσης που ορίζονται στα σημεία 2 έως 5,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4A930757" w14:textId="35786EEA" w:rsidR="005643EA" w:rsidRPr="002D60D7" w:rsidRDefault="002648B0" w:rsidP="00E172EA">
      <w:pPr>
        <w:pStyle w:val="InstructionsText2"/>
        <w:numPr>
          <w:ilvl w:val="0"/>
          <w:numId w:val="29"/>
        </w:numPr>
        <w:suppressAutoHyphens/>
      </w:pPr>
      <w:r>
        <w:t>Στις οδηγίες χρησιμοποιείται το ακόλουθο γενικό σύμβολο: {Υπόδειγμα, Γραμμή, Στήλη}.</w:t>
      </w:r>
    </w:p>
    <w:p w14:paraId="058D6622" w14:textId="0D8EC818" w:rsidR="002648B0" w:rsidRPr="002D60D7" w:rsidRDefault="002648B0" w:rsidP="00E172EA">
      <w:pPr>
        <w:pStyle w:val="InstructionsText2"/>
        <w:numPr>
          <w:ilvl w:val="0"/>
          <w:numId w:val="29"/>
        </w:numPr>
        <w:suppressAutoHyphens/>
      </w:pPr>
      <w: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w:t>
      </w:r>
    </w:p>
    <w:p w14:paraId="1C93CB72" w14:textId="27E06172" w:rsidR="005643EA" w:rsidRPr="002D60D7" w:rsidRDefault="002648B0" w:rsidP="00E172EA">
      <w:pPr>
        <w:pStyle w:val="InstructionsText2"/>
        <w:numPr>
          <w:ilvl w:val="0"/>
          <w:numId w:val="29"/>
        </w:numPr>
        <w:suppressAutoHyphens/>
      </w:pPr>
      <w:r>
        <w:t>Στην περίπτωση υποδειγμάτων με μόνο μία στήλη, αναφέρονται μόνον οι γραμμές. {Υπόδειγμα· Γραμμή}.</w:t>
      </w:r>
    </w:p>
    <w:p w14:paraId="6CF08484" w14:textId="337CEEA0" w:rsidR="002648B0" w:rsidRPr="002D60D7" w:rsidRDefault="002648B0" w:rsidP="00E172EA">
      <w:pPr>
        <w:pStyle w:val="InstructionsText2"/>
        <w:numPr>
          <w:ilvl w:val="0"/>
          <w:numId w:val="29"/>
        </w:numPr>
        <w:suppressAutoHyphens/>
      </w:pPr>
      <w:r>
        <w:t>Ο αστερίσκος χρησιμοποιείται για να εκφράσει την επικύρωση γραμμών ή στηλών που έχουν προσδιοριστεί προηγουμένως.</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14181"/>
      <w:r>
        <w:rPr>
          <w:rFonts w:ascii="Times New Roman" w:hAnsi="Times New Roman"/>
          <w:sz w:val="24"/>
          <w:u w:val="none"/>
        </w:rPr>
        <w:t>1.2.</w:t>
      </w:r>
      <w:r w:rsidRPr="00861C69">
        <w:rPr>
          <w:u w:val="none"/>
        </w:rPr>
        <w:tab/>
      </w:r>
      <w:r>
        <w:rPr>
          <w:rFonts w:ascii="Times New Roman" w:hAnsi="Times New Roman"/>
          <w:sz w:val="24"/>
          <w:u w:val="none"/>
        </w:rPr>
        <w:t>Κανόνες χρήσης προσήμου</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Οποιοδήποτε ποσό αυξάνει τα ίδια κεφάλαια ή τις κεφαλαιακές απαιτήσεις αναφέρεται ως θετικό. Αντιθέτως, οποιοδήποτε ποσό μειώνει τα συνολικά ίδια κεφάλαια ή τις κεφαλαιακές απαιτήσεις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14182"/>
      <w:r>
        <w:rPr>
          <w:rFonts w:ascii="Times New Roman" w:hAnsi="Times New Roman"/>
          <w:sz w:val="24"/>
          <w:u w:val="none"/>
        </w:rPr>
        <w:t>1.3.</w:t>
      </w:r>
      <w:r w:rsidRPr="00861C69">
        <w:rPr>
          <w:u w:val="none"/>
        </w:rPr>
        <w:tab/>
      </w:r>
      <w:r>
        <w:rPr>
          <w:rFonts w:ascii="Times New Roman" w:hAnsi="Times New Roman"/>
          <w:sz w:val="24"/>
          <w:u w:val="none"/>
        </w:rPr>
        <w:t>Παραπομπές στον κανονισμό (ΕΕ) αριθ. 575/2013</w:t>
      </w:r>
      <w:bookmarkEnd w:id="17"/>
    </w:p>
    <w:p w14:paraId="59845808" w14:textId="11AE211B" w:rsidR="00843119" w:rsidRPr="002D60D7" w:rsidRDefault="00843119" w:rsidP="00E172EA">
      <w:pPr>
        <w:pStyle w:val="InstructionsText2"/>
        <w:numPr>
          <w:ilvl w:val="0"/>
          <w:numId w:val="29"/>
        </w:numPr>
        <w:suppressAutoHyphens/>
      </w:pPr>
      <w:r>
        <w:t xml:space="preserve">Όλες οι παραπομπές στα άρθρα 325 έως 377 του κανονισμού (ΕΕ) αριθ. 575/2013 νοούνται ως παραπομπές στην έκδοση του εν λόγω κανονισμού που ίσχυε στις 26 Ιουνίου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14183"/>
      <w:r>
        <w:rPr>
          <w:rFonts w:ascii="Times New Roman" w:hAnsi="Times New Roman"/>
        </w:rPr>
        <w:t>ΜΕΡΟΣ II: ΟΔΗΓΙΕΣ ΣΧΕΤΙΚΑ ΜΕ ΤΑ ΥΠΟΔΕΙΓΜΑΤΑ</w:t>
      </w:r>
      <w:bookmarkEnd w:id="18"/>
      <w:bookmarkEnd w:id="19"/>
      <w:r>
        <w:rPr>
          <w:rFonts w:ascii="Times New Roman" w:hAnsi="Times New Roman"/>
        </w:rPr>
        <w:t>: ΥΠΟΔΕΙΓΜΑΤΑ ΚΙΝΔΥΝΟΥ ΑΓΟΡΑΣ</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14184"/>
      <w:r>
        <w:rPr>
          <w:rFonts w:ascii="Times New Roman" w:hAnsi="Times New Roman"/>
          <w:sz w:val="24"/>
          <w:u w:val="none"/>
        </w:rPr>
        <w:t>1.</w:t>
      </w:r>
      <w:r w:rsidRPr="00861C69">
        <w:rPr>
          <w:u w:val="none"/>
        </w:rPr>
        <w:tab/>
      </w:r>
      <w:bookmarkEnd w:id="21"/>
      <w:bookmarkEnd w:id="22"/>
      <w:bookmarkEnd w:id="23"/>
      <w:bookmarkEnd w:id="24"/>
      <w:bookmarkEnd w:id="25"/>
      <w:bookmarkEnd w:id="26"/>
      <w:r>
        <w:rPr>
          <w:rFonts w:ascii="Times New Roman" w:hAnsi="Times New Roman"/>
          <w:sz w:val="24"/>
        </w:rPr>
        <w:t>Γενικές παρατηρήσεις</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Οι οδηγίες αυτές αφορούν τα υποδείγματα για την αναφορά του υπολογισμού των απαιτήσεων ιδίων κεφαλαίων σύμφωνα με την τυποποιημένη προσέγγιση για τον κίνδυνο συναλλάγματος (MKR SA FX), τον κίνδυνο βασικού εμπορεύματος (MKR SA COM), τον κίνδυνο επιτοκίου (MKR SA TDI, MKR SA SEC, MKR SA CTP) και τον κίνδυνο μετοχικών τίτλων (MKR SA EQU). Επίσης, στο συγκεκριμένο μέρος περιλαμβάνονται οδηγίες σχετικά με το υπόδειγμα για την αναφορά του υπολογισμού των απαιτήσεων ιδίων κεφαλαίων σύμφωνα με την προσέγγιση των εσωτερικών υποδειγμάτων (MKR IM). </w:t>
      </w:r>
    </w:p>
    <w:p w14:paraId="43A205D1" w14:textId="5DC446A2" w:rsidR="000B0B09" w:rsidRPr="002D60D7" w:rsidRDefault="000B0B09" w:rsidP="00E172EA">
      <w:pPr>
        <w:pStyle w:val="InstructionsText2"/>
        <w:numPr>
          <w:ilvl w:val="0"/>
          <w:numId w:val="29"/>
        </w:numPr>
        <w:suppressAutoHyphens/>
      </w:pPr>
      <w:r>
        <w:t xml:space="preserve">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εν λόγω κινδύνου θέσης. Η πρώτη συνιστώσα καλύπτει τον ειδικό κίνδυνο που ενέχει η θέση —δηλαδή τον κίνδυνο μεταβολής της τιμής του σχετικού μέσου λόγω της επίδρασης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μέσου που βασίζεται σε μετοχή). </w:t>
      </w:r>
      <w:bookmarkEnd w:id="28"/>
      <w:r>
        <w:t xml:space="preserve">Η γενική αντιμετώπιση συγκεκριμένων μέσων και διαδικασιών συμψηφισμού ορίζεται στα άρθρα 326 έως 333 του κανονισμού (ΕΕ) αριθ.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14185"/>
      <w:r>
        <w:rPr>
          <w:rFonts w:ascii="Times New Roman" w:hAnsi="Times New Roman"/>
          <w:sz w:val="24"/>
          <w:u w:val="none"/>
        </w:rPr>
        <w:t>2.</w:t>
      </w:r>
      <w:r w:rsidRPr="00861C69">
        <w:rPr>
          <w:u w:val="none"/>
        </w:rPr>
        <w:tab/>
      </w:r>
      <w:r>
        <w:rPr>
          <w:rFonts w:ascii="Times New Roman" w:hAnsi="Times New Roman"/>
          <w:sz w:val="24"/>
        </w:rPr>
        <w:t>C 18.00 – Κίνδυνος Αγοράς: Τυποποιημένη προσέγγιση για κινδύνους θέσης σε διαπραγματεύσιμους χρεωστικούς τίτλους</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14186"/>
      <w:r>
        <w:rPr>
          <w:rFonts w:ascii="Times New Roman" w:hAnsi="Times New Roman"/>
          <w:sz w:val="24"/>
          <w:u w:val="none"/>
        </w:rPr>
        <w:t>2.1.</w:t>
      </w:r>
      <w:r w:rsidRPr="00861C69">
        <w:rPr>
          <w:u w:val="none"/>
        </w:rPr>
        <w:tab/>
      </w:r>
      <w:r>
        <w:rPr>
          <w:rFonts w:ascii="Times New Roman" w:hAnsi="Times New Roman"/>
          <w:sz w:val="24"/>
        </w:rPr>
        <w:t>Γενικές παρατηρήσεις</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Στο παρόν υπόδειγμα παρουσιάζονται οι θέσεις και οι σχετικές απαιτήσεις ιδίων κεφαλαίων για τους κινδύνους θέσης σε διαπραγματεύσιμους χρεωστικούς τίτλους με βάση την τυποποιημένη προσέγγιση [άρθρο 325 παράγραφος 2 στοιχείο α) του κανονισμού (ΕΕ) αριθ. 575/2013]. Οι διάφοροι κίνδυνοι και οι μέθοδοι που είναι διαθέσιμες βάσει του κανονισμού (ΕΕ) αριθ. 575/2013 παρουσιάζονται στις επιμέρους γραμμές. Ο ειδικός κίνδυνος που σχετίζεται με ανοίγματα που αναφέρονται στα υποδείγματα MKR SA SEC και MKR SA CTP αναφέρεται μόνο στο υπόδειγμα «Total» του MKR SA TDI. Οι απαιτήσεις ιδίων κεφαλαίων που αναφέρονται στα υποδείγματα αυτά μεταφέρονται στο κελί {0325;0060} (τιτλοποιήσεις) και στο κελί {0330;0060} (CTP) αντιστοίχως.</w:t>
      </w:r>
    </w:p>
    <w:p w14:paraId="7C8420A5" w14:textId="3BAA75DB" w:rsidR="000B0B09" w:rsidRPr="002D60D7" w:rsidRDefault="000B0B09" w:rsidP="00E172EA">
      <w:pPr>
        <w:pStyle w:val="InstructionsText2"/>
        <w:numPr>
          <w:ilvl w:val="0"/>
          <w:numId w:val="29"/>
        </w:numPr>
        <w:suppressAutoHyphens/>
      </w:pPr>
      <w:r>
        <w:t xml:space="preserve">Το υπόδειγμα αυτό συμπληρώνεται χωριστά για το «Σύνολο», καθώς και για προκαθορισμένο κατάλογο των ακόλουθων νομισμάτων: </w:t>
      </w:r>
      <w:bookmarkStart w:id="44" w:name="OLE_LINK1"/>
      <w:r>
        <w:t xml:space="preserve">EUR, ALL, BGN, </w:t>
      </w:r>
      <w:r>
        <w:lastRenderedPageBreak/>
        <w:t xml:space="preserve">CZK, DKK, EGP, GBP, HUF, ISK, JPY, MKD, NOK, PLN, RON, RUB, RSD, SEK, CHF, TRY, UAH, USD </w:t>
      </w:r>
      <w:bookmarkEnd w:id="44"/>
      <w:r>
        <w:t xml:space="preserve">και ένα τελευταίο υπόδειγμα για όλα τα άλλα νομίσματα.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14187"/>
      <w:r>
        <w:rPr>
          <w:rFonts w:ascii="Times New Roman" w:hAnsi="Times New Roman"/>
          <w:sz w:val="24"/>
          <w:u w:val="none"/>
        </w:rPr>
        <w:t>2.2.</w:t>
      </w:r>
      <w:r w:rsidRPr="00861C69">
        <w:rPr>
          <w:u w:val="none"/>
        </w:rPr>
        <w:tab/>
      </w:r>
      <w:r>
        <w:rPr>
          <w:rFonts w:ascii="Times New Roman" w:hAnsi="Times New Roman"/>
          <w:sz w:val="24"/>
        </w:rPr>
        <w:t>Οδηγίες για συγκεκριμένες θέσεις</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Άρθρο 102 και άρθρο 105 παράγραφος 1 του κανονισμού (ΕΕ) αριθ. 575/2013. Πρόκειται για ακαθάριστες θέσεις που δεν έχουν συμψηφιστεί με τίτλους αφαιρώντας τις θέσεις αναδοχής που έχουν αναληφθεί ή υποαναληφθεί από τρίτους, σύμφωνα με το άρθρο 345 παράγραφος 1 πρώτο εδάφιο δεύτερη περίοδος του κανονισμού (ΕΕ) αριθ. 575/2013. Όσον αφορά τη διάκριση μεταξύ θετικών και αρνητικών θέσεων, που ισχύει επίσης για τις συγκεκριμένες ακαθάριστες θέσεις, βλέπε άρθρο 328 παράγραφος 2 του εν λόγω κανονισμού.</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Άρθρα 327 έως 329 και άρθρο 334 του κανονισμού (ΕΕ) αριθ. 575/2013. Όσον αφορά τη διάκριση μεταξύ θετικών και αρνητικών θέσεων, βλέπε άρθρο 328 παράγραφος 2 του εν λόγω κανονισμού.</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Η κεφαλαιακή επιβάρυνση για κάθε σχετική θέση, σύμφωνα με το τρίτο μέρος τίτλος IV κεφάλαιο 2 του κανονισμού (ΕΕ) αριθ.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Άρθρο 92 παράγραφος 6 στοιχείο β) του κανονισμού (ΕΕ) αριθ. 575/2013. Αποτέλεσμα του πολλαπλασιασμού των απαιτήσεων ιδίων κεφαλαίων επί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 ΣΤΟ ΧΑΡΤΟΦΥΛΑΚΙΟ ΣΥΝΑΛΛΑΓΩΝ</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Οι θέσεις σε διαπραγματεύσιμους χρεωστικούς τίτλους στο χαρτοφυλάκιο συναλλαγών και οι αντίστοιχες απαιτήσεις ιδίων κεφαλαίων τους για τον κίνδυνο θέσης, σύμφωνα με το άρθρο 92 παράγραφος 4 στοιχείο β) σημείο i) του κανονισμού (ΕΕ) αριθ. 575/2013 και το τρίτο μέρος κεφάλαιο 2 τίτλος IV του εν λόγω κανονισμού, αναφέρονται ανάλογα με την κατηγορία κινδύνου, τη ληκτότητα και την εφαρμοζόμενη προσέγγιση.</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ΓΕΝΙΚΟΣ ΚΙΝΔΥΝΟΣ.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Παράγωγα</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Παράγωγα που περιλαμβάνονται στον υπολογισμό του κινδύνου επιτοκίου των θέσεων του χαρτοφυλακίου συναλλαγών, λαμβανομένων υπόψη των άρθρων 328 έως 331 του κανονισμού (ΕΕ) αριθ. 575/2013, κατά περίπτωση.</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του παθητικού</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επιτοκίου των θέσεων του χαρτοφυλακίου συναλλαγών.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ΒΑΣΕΙ ΤΗΣ ΜΕΘΟΔΟΥ ΤΗΣ ΛΗΚΤΟΤΗΤΑΣ</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ληκτότητας, όπως προβλέπεται στο άρθρο 339 παράγραφοι 1 έως 8 του κανονισμού (ΕΕ) αριθ. 575/2013, και οι αντίστοιχες απαιτήσεις ιδίων κεφαλαίων υπολογιζόμενες σύμφωνα με το άρθρο 339 παράγραφος 9 του εν λόγω κανονισμού. Η θέση κατανέμεται στις ζώνες 1, 2 και 3 και οι εν λόγω ζώνες κατανέμονται βάσει της ληκτότητας των μέσων.</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ΓΕΝΙΚΟΣ ΚΙΝΔΥΝΟΣ. ΠΡΟΣΕΓΓΙΣΗ ΒΑΣΕΙ ΤΗΣ ΜΕΘΟΔΟΥ ΤΗΣ ΔΙΑΡΚΕΙΑΣ</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διάρκειας, όπως προβλέπεται στο άρθρο 340 παράγραφοι 1 έως 6 του κανονισμού (ΕΕ) αριθ. 575/2013, και οι αντίστοιχες απαιτήσεις ιδίων κεφαλαίων υπολογιζόμενες σύμφωνα με το άρθρο 340 παράγραφος 7 του εν λόγω κανονισμού. Η θέση κατανέμεται στις ζώνες 1, 2 και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Άθροισμα των ποσών που αναφέρονται στις γραμμές 0251, 0325 και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Θέσεις σε διαπραγματεύσιμους χρεωστικούς τίτλους υποκείμενους στις κεφαλαιακές απαιτήσεις έναντι του ειδικού κινδύνου και οι αντίστοιχες κεφαλαιακές απαιτήσεις τους σύμφωνα με το άρθρο 92 παράγραφος 3 στοιχείο β), το άρθρο 335, το άρθρο 336 παράγραφοι 1, 2 και 3 και τα άρθρα 337 και 338 του κανονισμού (ΕΕ) αριθ. 575/2013. Ιδιαίτερη προσοχή πρέπει να δίνεται στην τελευταία περίοδο του άρθρου 327 παράγραφος 1 του εν λόγω κανονισμού.</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χρεωστικούς τίτλους που δεν αποτελούν θέσεις τιτλοποίησης</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Άθροισμα των ποσών που αναφέρονται στις γραμμές 260 έως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Η απαίτηση ιδίων κεφαλαίων των πιστωτικών παραγώγων νιοστού βαθμού αθέτησης που δεν διαβαθμίζονται εξωτερικά υπολογίζεται αθροίζοντας τους συντελεστές στάθμισης κινδύνου των οντοτήτων αναφοράς [άρθρο 332 παράγραφος 1 στοιχείο ε) και άρθρο 332 παράγραφος 1 δεύτερο εδάφιο του κανονισμού (ΕΕ) αριθ. 575/2013 — «εξέταση»]. Τα πιστωτικά παράγωγα νιοστού βαθμού αθέτησης που διαβαθμίζονται εξωτερικά [άρθρο 332 παράγραφος 1 τρίτο εδάφιο του κανονισμού (ΕΕ) αριθ. 575/2013] αναφέρονται χωριστά στη γραμμή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 xml:space="preserve">Αναφορά θέσεων υποκείμενων στο άρθρο 336 παράγραφος 3 του κανονισμού (ΕΕ) αριθ. 575/2013: Πρόκειται για ειδική αντιμετώπιση ομολόγων που λαμβάνουν συντελεστή στάθμισης κινδύνου 10 % εντός του τραπεζικού χαρτοφυλακίου, σύμφωνα με το άρθρο 129 παράγραφος 3 του εν λόγω κανονισμού (καλυμμένα ομόλογα). Οι ειδικές απαιτήσεις ιδίων κεφαλαίων είναι </w:t>
            </w:r>
            <w:r>
              <w:rPr>
                <w:rFonts w:ascii="Times New Roman" w:hAnsi="Times New Roman"/>
                <w:sz w:val="24"/>
              </w:rPr>
              <w:lastRenderedPageBreak/>
              <w:t>το ήμισυ του ποσοστού της δεύτερης κατηγορίας που προβλέπεται στον πίνακα 1 του άρθρου 336 του κανονισμού (ΕΕ) αριθ. 575/2013. Οι θέσεις αυτές καταλογίζονται στις γραμμές 0280-0300 ανάλογα με την εναπομένουσα διάρκεια μέχρι την τελική ληκτότητα.</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Εάν ο γενικός κίνδυνος των θέσεων επιτοκίου αντισταθμίζεται με πιστωτικό παράγωγο, εφαρμόζονται τα άρθρα 346 και 347 του κανονισμού (ΕΕ) αριθ.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μέσα τιτλοποίησης</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0601 του υποδείγματος MKR SA SEC. Οι εν λόγω συνολικές απαιτήσεις ιδίων κεφαλαίων αναφέρονται μόνο στο επίπεδο “Total” του υποδείγματος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το χαρτοφυλάκιο διαπραγμάτευσης συσχετίσεων</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0450 του υποδείγματος MKR SA CTP. Οι εν λόγω συνολικές απαιτήσεις ιδίων κεφαλαίων αναφέρονται μόνο στο επίπεδο «Σύνολο» του υποδείγματος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ΠΡΟΣΘΕΤΕΣ ΑΠΑΙΤΗΣΕΙΣ ΓΙΑ ΤΑ ΔΙΚΑΙΩΜΑΤΑ ΠΡΟΑΙΡΕΣΗΣ (ΚΙΝΔΥΝΟΙ ΠΟΥ ΔΕΝ ΥΠΟΚΕΙΝΤΑΙ ΣΤΟΝ ΣΥΝΤΕΛΕΣΤΗ ΔΕΛΤΑ)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Άρθρο 329 παράγραφος 3 του κανονισμού (ΕΕ) αριθ.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14188"/>
      <w:r>
        <w:rPr>
          <w:rFonts w:ascii="Times New Roman" w:hAnsi="Times New Roman"/>
          <w:sz w:val="24"/>
          <w:u w:val="none"/>
        </w:rPr>
        <w:t>3.</w:t>
      </w:r>
      <w:r w:rsidRPr="00861C69">
        <w:rPr>
          <w:u w:val="none"/>
        </w:rPr>
        <w:tab/>
      </w:r>
      <w:r>
        <w:rPr>
          <w:rFonts w:ascii="Times New Roman" w:hAnsi="Times New Roman"/>
          <w:sz w:val="24"/>
        </w:rPr>
        <w:t>C 19.00 – ΚΙΝΔΥΝΟΣ ΑΓΟΡΑΣ: ΤΥΠΟΠΟΙΗΜΕΝΗ ΠΡΟΣΕΓΓΙΣΗ ΓΙΑ ΤΟΝ ΕΙΔΙΚΟ ΚΙΝΔΥΝΟ ΣΕ ΤΙΤΛΟΠΟΙΗΣΕΙΣ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14189"/>
      <w:r>
        <w:rPr>
          <w:rFonts w:ascii="Times New Roman" w:hAnsi="Times New Roman"/>
          <w:sz w:val="24"/>
          <w:u w:val="none"/>
        </w:rPr>
        <w:t>3.1.</w:t>
      </w:r>
      <w:r w:rsidRPr="00861C69">
        <w:rPr>
          <w:u w:val="none"/>
        </w:rPr>
        <w:tab/>
      </w:r>
      <w:r>
        <w:rPr>
          <w:rFonts w:ascii="Times New Roman" w:hAnsi="Times New Roman"/>
          <w:sz w:val="24"/>
        </w:rPr>
        <w:t>Γενικές παρατηρήσεις</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Στο συγκεκριμένο υπόδειγμα ζητούνται πληροφορίες για θέσεις (συνολικές/καθαρές και θετικές/αρνητικές) και τις σχετικές απαιτήσεις ιδίων κεφαλαίων για τη συνιστώσα ειδικού κινδύνου του κινδύνου θέσης σε τιτλοποιήσεις / επανατιτλοποιήσεις που τηρούνται στο χαρτοφυλάκιο συναλλαγών (μη επιλέξιμες για το χαρτοφυλάκιο διαπραγμάτευσης συσχετίσεων), με βάση την τυποποιημένη προσέγγιση. </w:t>
      </w:r>
    </w:p>
    <w:p w14:paraId="2729DF95" w14:textId="1BA228E4" w:rsidR="00FC6275" w:rsidRPr="002D60D7" w:rsidRDefault="00FC6275" w:rsidP="00E172EA">
      <w:pPr>
        <w:pStyle w:val="InstructionsText2"/>
        <w:numPr>
          <w:ilvl w:val="0"/>
          <w:numId w:val="29"/>
        </w:numPr>
        <w:suppressAutoHyphens/>
      </w:pPr>
      <w:r>
        <w:t xml:space="preserve">Το υπόδειγμα MKR SA SEC παρουσιάζει την απαίτηση ιδίων κεφαλαίων μόνο για τον ειδικό κίνδυνο θέσεων τιτλοποίησης, σύμφωνα με το άρθρο 335 του κανονισμού (ΕΕ) αριθ. 575/2013 σε συνδυασμό με το άρθρο 337 του εν λόγω κανονισμού. Εάν οι θέσεις τιτλοποίησης του χαρτοφυλακίου συναλλαγών αντισταθμίζονται με πιστωτικά παράγωγα, εφαρμόζονται τα άρθρα 346 και 347 του κανονισμού (ΕΕ) αριθ. 575/2013. Υπάρχει μόνο ένα υπόδειγμα για όλες τις θέσεις του χαρτοφυλακίου συναλλαγών, ανεξαρτήτως της προσέγγισης που εφαρμόζεται από τις επιχειρήσεις επενδύσεων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w:t>
      </w:r>
      <w:r>
        <w:lastRenderedPageBreak/>
        <w:t xml:space="preserve">κεφαλαίων του γενικού κινδύνου των θέσεων αυτών αναφέρονται στο υπόδειγμα MKR SA TDI ή στο υπόδειγμα MKR IM. </w:t>
      </w:r>
    </w:p>
    <w:p w14:paraId="0C732A14" w14:textId="3FF74494" w:rsidR="00FC6275" w:rsidRPr="002D60D7" w:rsidRDefault="00FC6275" w:rsidP="00E172EA">
      <w:pPr>
        <w:pStyle w:val="InstructionsText2"/>
        <w:numPr>
          <w:ilvl w:val="0"/>
          <w:numId w:val="29"/>
        </w:numPr>
        <w:suppressAutoHyphens/>
      </w:pPr>
      <w:r>
        <w:t>Οι θέσεις που λαμβάνουν συντελεστή στάθμισης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Οι θέσεις αυτές αναφέρονται στο παρόν υπόδειγμα, ακόμη και αν το ίδρυμα κάνει χρήση της ανωτέρω δυνατότητας αφαίρεσης.</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14190"/>
      <w:r>
        <w:rPr>
          <w:rFonts w:ascii="Times New Roman" w:hAnsi="Times New Roman"/>
          <w:sz w:val="24"/>
          <w:u w:val="none"/>
        </w:rPr>
        <w:t>3.2.</w:t>
      </w:r>
      <w:r w:rsidRPr="00861C69">
        <w:rPr>
          <w:u w:val="none"/>
        </w:rPr>
        <w:tab/>
      </w:r>
      <w:r>
        <w:rPr>
          <w:rFonts w:ascii="Times New Roman" w:hAnsi="Times New Roman"/>
          <w:sz w:val="24"/>
        </w:rPr>
        <w:t>Οδηγίες για συγκεκριμένες θέσεις</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Άρθρο </w:t>
            </w:r>
            <w:r>
              <w:rPr>
                <w:rStyle w:val="InstructionsTabelleText"/>
                <w:rFonts w:ascii="Times New Roman" w:hAnsi="Times New Roman"/>
                <w:sz w:val="24"/>
              </w:rPr>
              <w:t>102 και άρθρο 105 παράγραφος 1</w:t>
            </w:r>
            <w:r>
              <w:rPr>
                <w:rFonts w:ascii="Times New Roman" w:hAnsi="Times New Roman"/>
                <w:sz w:val="24"/>
              </w:rPr>
              <w:t xml:space="preserve"> του κανονισμού (ΕΕ) αριθ. 575/2013 </w:t>
            </w:r>
            <w:r>
              <w:rPr>
                <w:rStyle w:val="InstructionsTabelleText"/>
                <w:rFonts w:ascii="Times New Roman" w:hAnsi="Times New Roman"/>
                <w:sz w:val="24"/>
              </w:rPr>
              <w:t>σε συνδυασμό με το άρθρο 337</w:t>
            </w:r>
            <w:r>
              <w:rPr>
                <w:rFonts w:ascii="Times New Roman" w:hAnsi="Times New Roman"/>
                <w:sz w:val="24"/>
              </w:rPr>
              <w:t xml:space="preserve"> του εν λόγω κανονισμού </w:t>
            </w:r>
            <w:r>
              <w:rPr>
                <w:rStyle w:val="InstructionsTabelleText"/>
                <w:rFonts w:ascii="Times New Roman" w:hAnsi="Times New Roman"/>
                <w:sz w:val="24"/>
              </w:rPr>
              <w:t>(θέσεις τιτλοποίησης)</w:t>
            </w:r>
            <w:r>
              <w:rPr>
                <w:rFonts w:ascii="Times New Roman" w:hAnsi="Times New Roman"/>
                <w:sz w:val="24"/>
              </w:rPr>
              <w:t>.</w:t>
            </w:r>
            <w:r>
              <w:rPr>
                <w:rStyle w:val="InstructionsTabelleText"/>
                <w:rFonts w:ascii="Times New Roman" w:hAnsi="Times New Roman"/>
                <w:sz w:val="24"/>
              </w:rPr>
              <w:t xml:space="preserve"> Όσον αφορά τη διάκριση μεταξύ θετικών και αρνητικών θέσεων, που ισχύει επίσης για τις συγκεκριμένες ακαθάριστες θέσεις, βλέπε άρθρο 328 παράγραφος 2</w:t>
            </w:r>
            <w:r>
              <w:rPr>
                <w:rFonts w:ascii="Times New Roman" w:hAnsi="Times New Roman"/>
                <w:sz w:val="24"/>
              </w:rPr>
              <w:t xml:space="preserve"> του εν λόγω κανονισμού</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w:t>
            </w:r>
            <w:r>
              <w:rPr>
                <w:rFonts w:ascii="Times New Roman" w:hAnsi="Times New Roman"/>
                <w:b/>
                <w:sz w:val="24"/>
                <w:u w:val="single"/>
              </w:rPr>
              <w:t xml:space="preserve"> (ΘΕΤΙΚΕΣ ΚΑΙ ΑΡΝΗΤΙΚΕΣ)</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Άρθρο 244 παράγραφος 1 στοιχείο β), άρθρο 245 παράγραφος 1 στοιχείο β) και άρθρο 253</w:t>
            </w:r>
            <w:r>
              <w:rPr>
                <w:rFonts w:ascii="Times New Roman" w:hAnsi="Times New Roman"/>
                <w:sz w:val="24"/>
              </w:rPr>
              <w:t xml:space="preserve"> του κανονισμού (ΕΕ) αριθ.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ΚΑΘΑΡΕΣ ΘΕΣΕΙΣ</w:t>
            </w:r>
            <w:r>
              <w:rPr>
                <w:rFonts w:ascii="Times New Roman" w:hAnsi="Times New Roman"/>
                <w:b/>
                <w:sz w:val="24"/>
                <w:u w:val="single"/>
              </w:rPr>
              <w:t xml:space="preserve"> (ΘΕΤΙΚΕΣ ΚΑΙ ΑΡΝΗΤΙΚΕΣ)</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Άρθρο </w:t>
            </w:r>
            <w:r>
              <w:rPr>
                <w:rStyle w:val="InstructionsTabelleText"/>
                <w:rFonts w:ascii="Times New Roman" w:hAnsi="Times New Roman"/>
                <w:sz w:val="24"/>
              </w:rPr>
              <w:t xml:space="preserve">327, 328, 329 και 334 </w:t>
            </w:r>
            <w:r>
              <w:rPr>
                <w:rFonts w:ascii="Times New Roman" w:hAnsi="Times New Roman"/>
                <w:sz w:val="24"/>
              </w:rPr>
              <w:t>του κανονισμού (ΕΕ) αριθ. 575/2013</w:t>
            </w:r>
            <w:r>
              <w:rPr>
                <w:rStyle w:val="InstructionsTabelleText"/>
                <w:rFonts w:ascii="Times New Roman" w:hAnsi="Times New Roman"/>
                <w:sz w:val="24"/>
              </w:rPr>
              <w:t>. Όσον αφορά τη διάκριση μεταξύ θετικών και αρνητικών θέσεων, βλέπε άρθρο 328 παράγραφος 2</w:t>
            </w:r>
            <w:r>
              <w:rPr>
                <w:rFonts w:ascii="Times New Roman" w:hAnsi="Times New Roman"/>
                <w:sz w:val="24"/>
              </w:rPr>
              <w:t xml:space="preserve"> του εν λόγω κανονισμού</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ΤΟΥΣ ΣΥΝΤΕΛΕΣΤΕΣ ΣΤΑΘΜΙΣΗΣ ΚΙΝΔΥΝΟΥ</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Άρθρα 259 έως 262, άρθρο 263 πίνακες 1 και 2, άρθρο 264 πίνακες 3 και 4 και άρθρο 266</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Η κατανομή πραγματοποιείται χωριστά για τις θετικές και για τις αρνητικές θέσεις.</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ΤΙΣ ΠΡΟΣΕΓΓΙΣΕΙΣ</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Άρθρο </w:t>
            </w:r>
            <w:r>
              <w:rPr>
                <w:rStyle w:val="InstructionsTabelleText"/>
                <w:rFonts w:ascii="Times New Roman" w:hAnsi="Times New Roman"/>
                <w:sz w:val="24"/>
              </w:rPr>
              <w:t>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Άρθρο 259 και 260 </w:t>
            </w:r>
            <w:r>
              <w:rPr>
                <w:rFonts w:ascii="Times New Roman" w:hAnsi="Times New Roman"/>
                <w:sz w:val="24"/>
              </w:rPr>
              <w:t>του κανονισμού (ΕΕ) αριθ.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Άρθρο 261 και 262 </w:t>
            </w:r>
            <w:r>
              <w:rPr>
                <w:rFonts w:ascii="Times New Roman" w:hAnsi="Times New Roman"/>
                <w:sz w:val="24"/>
              </w:rPr>
              <w:t>του κανονισμού (ΕΕ) αριθ.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Άρθρο 263 και 264 </w:t>
            </w:r>
            <w:r>
              <w:rPr>
                <w:rFonts w:ascii="Times New Roman" w:hAnsi="Times New Roman"/>
                <w:sz w:val="24"/>
              </w:rPr>
              <w:t>του κανονισμού (ΕΕ) αριθ.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 xml:space="preserve">Άρθρο 254, άρθρο 265 και άρθρο 266 παράγραφος 5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ΣΥΓΚΕΚΡΙΜΕΝΗ ΑΝΤΙΜΕΤΩΠΙΣΗ ΓΙΑ ΤΜΗΜΑΤΑ ΥΨΗΛΟΤΕΡΗΣ ΕΞΑΣΦΑΛΙΣΗΣ ΤΙΤΛΟΠΟΙΗΣΕΩΝ ΜΕΑ ΠΟΥ ΠΛΗΡΟΥΝ ΤΙΣ ΠΡΟΫΠΟΘΕΣΕΙΣ</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Άρθρο 269α παράγραφος 3 του κανονισμού (ΕΕ) αριθ.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w:t>
            </w:r>
            <w:r>
              <w:t>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Άρθρο 254 παράγραφος 7 </w:t>
            </w:r>
            <w:r>
              <w:rPr>
                <w:rFonts w:ascii="Times New Roman" w:hAnsi="Times New Roman"/>
                <w:sz w:val="24"/>
              </w:rPr>
              <w:t>του κανονισμού (ΕΕ) αριθ.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Άρθρο 270α </w:t>
            </w:r>
            <w:r>
              <w:rPr>
                <w:rFonts w:ascii="Times New Roman" w:hAnsi="Times New Roman"/>
                <w:sz w:val="24"/>
              </w:rPr>
              <w:t>του κανονισμού (ΕΕ) αριθ.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ΠΡΙΝ ΑΠΟ ΤΟ ΑΝΩΤΑΤΟ ΟΡΙΟ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Άρθρο 337 του κανονισμού (ΕΕ) αριθ. 575/2013, χωρίς να λαμβάνεται υπόψη η διακριτική ευχέρεια που ορίζεται στο άρθρο 335 του εν λόγω κανονισμού, βάσει του οποίου επιτρέπεται σε ένα ίδρυμα να θέτει ανώτατο όριο στο γινόμενο του συντελεστή στάθμισης επί την καθαρή θέση ίσο με τη μέγιστη πιθανή ζημία που σχετίζεται με τον κίνδυνο αθέτησης.</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ΜΕΤΑ ΤΟ ΑΝΩΤΑΤΟ ΟΡΙΟ / ΣΥΝΟΛΙΚΕΣ ΑΠΑΙΤΗΣΕΙΣ ΙΔΙΩΝ ΚΕΦΑΛΑΙΩΝ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Άρθρο 337 του κανονισμού (ΕΕ) αριθ. 575/2013, λαμβανομένης </w:t>
            </w:r>
            <w:r>
              <w:rPr>
                <w:rStyle w:val="InstructionsTabelleText"/>
                <w:rFonts w:ascii="Times New Roman" w:hAnsi="Times New Roman"/>
                <w:sz w:val="24"/>
              </w:rPr>
              <w:t xml:space="preserve">υπόψη </w:t>
            </w:r>
            <w:r>
              <w:rPr>
                <w:rFonts w:ascii="Times New Roman" w:hAnsi="Times New Roman"/>
                <w:sz w:val="24"/>
              </w:rPr>
              <w:t>της διακριτικής ευχέρειας του άρθρου 335 του εν λόγω κανονισμού.</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ΣΥΝΟΛΙΚΑ ΑΝΟΙΓΜΑΤΑ</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Συνολικό ποσό εκκρεμών τιτλοποιήσεων και επανατιτλοποιήσεων (που τηρούνται στο χαρτοφυλάκιο συναλλαγών) τις οποίες αναφέρει το ίδρυμα που διαδραματίζει τον ρόλο της μεταβιβάζουσας οντότητας ή του επενδυτή ή της αναδόχου οντότητας.</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και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Άρθρο 4 παράγραφος 1 σημείο 62 του κανονισμού (ΕΕ) αριθ.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και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ΘΕΣΕΙΣ ΕΠΑΝΑΤΙΤΛΟΠΟΙΗΣΗΣ</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64 του κανονισμού (ΕΕ) αριθ.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και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ΕΚ ΤΩΝ ΟΠΟΙΩΝ: ΠΟΥ ΠΛΗΡΟΥΝ ΤΙΣ ΠΡΟΫΠΟΘΕΣΕΙΣ ΓΙΑ ΔΙΑΦΟΡΟΠΟΙΗΜΕΝΗ ΚΕΦΑΛΑΙΑΚΗ ΑΝΤΙΜΕΤΩΠΙΣΗ</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Το συνολικό ποσό θέσεων τιτλοποίησης που πληρούν τα κριτήρια του άρθρου 243 ή του άρθρου 270 του κανονισμού (ΕΕ) αριθ. 575/2013 και, </w:t>
            </w:r>
            <w:r>
              <w:rPr>
                <w:rFonts w:ascii="Times New Roman" w:hAnsi="Times New Roman"/>
                <w:sz w:val="24"/>
              </w:rPr>
              <w:lastRenderedPageBreak/>
              <w:t xml:space="preserve">συνεπώς, τις προϋποθέσεις για τη διαφοροποιημένη κεφαλαιακή αντιμετώπιση.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13 του κανονισμού (ΕΕ) αριθ.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Πιστωτικό ίδρυμα που κατέχει θέση τιτλοποίησης σε συναλλαγή τιτλοποίησης στην οποία δεν είναι ούτε μεταβιβάζουσα οντότητα, ούτε ανάδοχος οντότητα, ούτε αρχικός δανειστής.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Άρθρο 4 παράγραφος 1 σημείο 14 του κανονισμού (ΕΕ) αριθ.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14191"/>
      <w:r>
        <w:rPr>
          <w:rFonts w:ascii="Times New Roman" w:hAnsi="Times New Roman"/>
          <w:sz w:val="24"/>
          <w:u w:val="none"/>
        </w:rPr>
        <w:t>4.</w:t>
      </w:r>
      <w:r w:rsidRPr="00861C69">
        <w:rPr>
          <w:u w:val="none"/>
        </w:rPr>
        <w:tab/>
      </w:r>
      <w:r>
        <w:rPr>
          <w:rFonts w:ascii="Times New Roman" w:hAnsi="Times New Roman"/>
          <w:sz w:val="24"/>
        </w:rPr>
        <w:t>C 20.00 – ΚΙΝΔΥΝΟΣ ΑΓΟΡΑΣ: ΤΥΠΟΠΟΙΗΜΕΝΗ ΠΡΟΣΕΓΓΙΣΗ ΓΙΑ ΕΙΔΙΚΟ ΚΙΝΔΥΝΟ ΘΕΣΕΩΝ ΣΤΟ ΧΑΡΤΟΦΥΛΑΚΙΟ ΔΙΑΠΡΑΓΜΑΤΕΥΣΗΣ ΣΥΣΧΕΤΙΣΕΩΝ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14192"/>
      <w:r>
        <w:rPr>
          <w:rFonts w:ascii="Times New Roman" w:hAnsi="Times New Roman"/>
          <w:sz w:val="24"/>
          <w:u w:val="none"/>
        </w:rPr>
        <w:t>4.1.</w:t>
      </w:r>
      <w:r w:rsidRPr="00861C69">
        <w:rPr>
          <w:u w:val="none"/>
        </w:rPr>
        <w:tab/>
      </w:r>
      <w:r>
        <w:rPr>
          <w:rFonts w:ascii="Times New Roman" w:hAnsi="Times New Roman"/>
          <w:sz w:val="24"/>
        </w:rPr>
        <w:t>Γενικές παρατηρήσεις</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Στο συγκεκριμένο υπόδειγμα ζητούνται πληροφορίες για θέσεις του χαρτοφυλακίου διαπραγμάτευσης συσχετίσεων [που περιλαμβάνουν τιτλοποιήσεις, πιστωτικά παράγωγα νιοστού βαθμού αθέτησης και άλλες θέσεις του χαρτοφυλακίου διαπραγμάτευσης συσχετίσεων, σύμφωνα με το άρθρο 338 παράγραφος 3 του κανονισμού (ΕΕ) αριθ. 575/2013] και τις αντίστοιχες απαιτήσεις ιδίων κεφαλαίων με βάση την τυποποιημένη προσέγγιση.</w:t>
      </w:r>
    </w:p>
    <w:p w14:paraId="7D9D9B10" w14:textId="1F1EFDEB" w:rsidR="00C55547" w:rsidRPr="002D60D7" w:rsidRDefault="00C55547" w:rsidP="00E172EA">
      <w:pPr>
        <w:pStyle w:val="InstructionsText2"/>
        <w:numPr>
          <w:ilvl w:val="0"/>
          <w:numId w:val="29"/>
        </w:numPr>
        <w:suppressAutoHyphens/>
      </w:pPr>
      <w:r>
        <w:t>Το υπόδειγμα MKR SA CTP παρουσιάζει την απαίτηση ιδίων κεφαλαίων μόνο για τον ειδικό κίνδυνο θέσεων εντός του χαρτοφυλακίου διαπραγμάτευσης συσχετίσεων, σύμφωνα με το άρθρο 335 του κανονισμού (ΕΕ) αριθ. 575/2013 σε συνδυασμό με το άρθρο 338 παράγραφοι 2 και 3 του εν λόγω κανονισμού.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κανονισμού (ΕΕ) αριθ. 575/2013. Υπάρχει μόνο ένα υπόδειγμα για όλες τις θέσεις του χαρτοφυλακίου διαπραγμάτευσης συσχετίσεων εντός του χαρτοφυλακίου συναλλαγών, ανεξαρτήτως της προσέγγισης που εφαρμόζεται από τις επιχειρήσεις επενδύσεων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κεφαλαίων για τον γενικό κίνδυνο των εν λόγω θέσεων αναφέρονται στο υπόδειγμα MKR SA TDI ή στο υπόδειγμα MKR IM.</w:t>
      </w:r>
    </w:p>
    <w:p w14:paraId="2252BE4F" w14:textId="4513CABA" w:rsidR="00C55547" w:rsidRPr="002D60D7" w:rsidRDefault="00C55547" w:rsidP="00E172EA">
      <w:pPr>
        <w:pStyle w:val="InstructionsText2"/>
        <w:numPr>
          <w:ilvl w:val="0"/>
          <w:numId w:val="29"/>
        </w:numPr>
        <w:suppressAutoHyphens/>
      </w:pPr>
      <w:r>
        <w:lastRenderedPageBreak/>
        <w:t xml:space="preserve">Το υπόδειγμα αυτό διαχωρίζει τις θέσεις τιτλοποίησης, τα πιστωτικά παράγωγα νιοστού βαθμού αθέτησης και τις άλλες θέσεις του χαρτοφυλακίου διαπραγμάτευσης συσχετίσεων. Οι θέσεις τιτλοποίησης αναφέρονται πάντοτε στις γραμμές 0030, 0060 ή 0090 (ανάλογα με τον ρόλο του ιδρύματος στην τιτλοποίηση). Τα πιστωτικά παράγωγα νιοστού βαθμού αθέτησης αναφέρονται πάντοτε στη γραμμή 0110. Οι «άλλες θέσεις του χαρτοφυλακίου διαπραγμάτευσης συσχετίσεων» δεν είναι ούτε θέσεις τιτλοποίησης ούτε πιστωτικά παράγωγα νιοστού βαθμού αθέτησης [βλέπε άρθρο 338 παράγραφος 3 του κανονισμού (ΕΕ) αριθ. 575/2013], αλλά είναι σαφώς «συνδεδεμένες» με μία από αυτές τις δύο θέσεις (λόγω της πρόθεσης αντιστάθμισης). </w:t>
      </w:r>
    </w:p>
    <w:p w14:paraId="5B5B9C2A" w14:textId="127C8328" w:rsidR="00C55547" w:rsidRPr="002D60D7" w:rsidRDefault="00C55547" w:rsidP="00E172EA">
      <w:pPr>
        <w:pStyle w:val="InstructionsText2"/>
        <w:numPr>
          <w:ilvl w:val="0"/>
          <w:numId w:val="29"/>
        </w:numPr>
        <w:suppressAutoHyphens/>
      </w:pPr>
      <w:r>
        <w:t>Οι θέσεις που λαμβάνουν συντελεστή στάθμισης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Οι θέσεις αυτές αναφέρονται στο παρόν υπόδειγμα, ακόμη και αν το ίδρυμα κάνει χρήση της ανωτέρω δυνατότητας αφαίρεσης.</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14193"/>
      <w:r>
        <w:rPr>
          <w:rFonts w:ascii="Times New Roman" w:hAnsi="Times New Roman"/>
          <w:sz w:val="24"/>
          <w:u w:val="none"/>
        </w:rPr>
        <w:t>4.2.</w:t>
      </w:r>
      <w:r w:rsidRPr="00861C69">
        <w:rPr>
          <w:u w:val="none"/>
        </w:rPr>
        <w:tab/>
      </w:r>
      <w:r>
        <w:rPr>
          <w:rFonts w:ascii="Times New Roman" w:hAnsi="Times New Roman"/>
          <w:sz w:val="24"/>
        </w:rPr>
        <w:t>Οδηγίες για συγκεκριμένες θέσεις</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ΟΛΕΣ ΟΙ ΘΕΣΕΙΣ (ΘΕΤΙΚΕΣ ΚΑΙ ΑΡΝΗΤΙΚΕΣ)</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Άρθρο 102 και άρθρο 105 παράγραφος 1 του κανονισμού (ΕΕ) αριθ. 575/2013 σε συνδυασμό με το άρθρο 338 παράγραφοι 2 και 3 του εν λόγω κανονισμού (θέσεις εντός του χαρτοφυλακίου διαπραγμάτευσης συσχετίσεων)</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Όσον αφορά τη διάκριση μεταξύ θετικών και αρνητικών θέσεων, που ισχύει επίσης για τις συγκεκριμένες ακαθάριστες θέσεις, βλέπε άρθρο 328 παράγραφος 2 του κανονισμού (ΕΕ) αριθ.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(ΘΕΤΙΚΕΣ ΚΑΙ ΑΡΝΗΤΙΚΕΣ)</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Άρθρο 253 του κανονισμού (ΕΕ) αριθ.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Άρθρο 327, 328, 329 και 334 του κανονισμού (ΕΕ) αριθ.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Όσον αφορά τη διάκριση μεταξύ θετικών και αρνητικών θέσεων, βλέπε άρθρο 328 παράγραφος 2 του εν λόγω κανονισμού.</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ΚΑΤΑΝΟΜΗ ΤΩΝ ΚΑΘΑΡΩΝ ΘΕΣΕΩΝ ΜΕ ΒΑΣΗ ΤΟΥΣ ΣΥΝΤΕΛΕΣΤΕΣ ΣΤΑΘΜΙΣΗΣ ΚΙΝΔΥΝΟΥ</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Άρθρα 259 έως 262, άρθρο 263 πίνακες 1 και 2, άρθρο 264 πίνακες 3 και 4 και άρθρο 266</w:t>
            </w:r>
            <w:r>
              <w:rPr>
                <w:rFonts w:ascii="Times New Roman" w:hAnsi="Times New Roman"/>
                <w:sz w:val="24"/>
              </w:rPr>
              <w:t xml:space="preserve"> του κανονισμού (ΕΕ) αριθ.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ΜΕ ΒΑΣΗ ΤΙΣ ΠΡΟΣΕΓΓΙΣΕΙΣ</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Άρθρο 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259 και 260 </w:t>
            </w:r>
            <w:r>
              <w:rPr>
                <w:rFonts w:ascii="Times New Roman" w:hAnsi="Times New Roman"/>
                <w:sz w:val="24"/>
              </w:rPr>
              <w:t>του κανονισμού (ΕΕ) αριθ.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261 και 262 </w:t>
            </w:r>
            <w:r>
              <w:rPr>
                <w:rFonts w:ascii="Times New Roman" w:hAnsi="Times New Roman"/>
                <w:sz w:val="24"/>
              </w:rPr>
              <w:t>του κανονισμού (ΕΕ) αριθ.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263 και 264 </w:t>
            </w:r>
            <w:r>
              <w:rPr>
                <w:rFonts w:ascii="Times New Roman" w:hAnsi="Times New Roman"/>
                <w:sz w:val="24"/>
              </w:rPr>
              <w:t>του κανονισμού (ΕΕ) αριθ.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Άρθρα 254 και 265 και άρθρο 266 παράγραφος 5 </w:t>
            </w:r>
            <w:r>
              <w:rPr>
                <w:rFonts w:ascii="Times New Roman" w:hAnsi="Times New Roman"/>
                <w:sz w:val="24"/>
              </w:rPr>
              <w:t>του κανονισμού (ΕΕ) αριθ.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ΣΥΓΚΕΚΡΙΜΕΝΗ ΑΝΤΙΜΕΤΩΠΙΣΗ ΓΙΑ ΤΜΗΜΑΤΑ ΥΨΗΛΟΤΕΡΗΣ ΕΞΑΣΦΑΛΙΣΗΣ ΤΙΤΛΟΠΟΙΗΣΕΩΝ ΜΕΑ ΠΟΥ ΠΛΗΡΟΥΝ ΤΙΣ ΠΡΟΫΠΟΘΕΣΕΙΣ</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Άρθρο </w:t>
            </w:r>
            <w:r>
              <w:rPr>
                <w:rStyle w:val="InstructionsTabelleText"/>
                <w:rFonts w:ascii="Times New Roman" w:hAnsi="Times New Roman"/>
                <w:sz w:val="24"/>
              </w:rPr>
              <w:t>269α</w:t>
            </w:r>
            <w:r>
              <w:rPr>
                <w:rFonts w:ascii="Times New Roman" w:hAnsi="Times New Roman"/>
                <w:sz w:val="24"/>
              </w:rPr>
              <w:t xml:space="preserve"> παράγραφος 3 του κανονισμού (ΕΕ) αριθ.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254 παράγραφος 7 </w:t>
            </w:r>
            <w:r>
              <w:rPr>
                <w:rFonts w:ascii="Times New Roman" w:hAnsi="Times New Roman"/>
                <w:sz w:val="24"/>
              </w:rPr>
              <w:t>του κανονισμού (ΕΕ) αριθ.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ΠΡΙΝ ΑΠΟ ΤΟ ΑΝΩΤΑΤΟ ΟΡΙΟ</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Άρθρο 338 του κανονισμού (ΕΕ) αριθ. 575/2013, χωρίς να λαμβάνεται υπόψη η διακριτική ευχέρεια που προβλέπεται στο άρθρο 335 του εν λόγω κανονισμού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ΜΕΤΑ ΤΟ ΑΝΩΤΑΤΟ ΟΡΙΟ</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Άρθρο 338 του κανονισμού (ΕΕ) αριθ. 575/2013, λαμβανομένης υπόψη της διακριτικής ευχέρειας του άρθρου 335 του εν λόγω κανονισμού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Η απαίτηση ιδίων κεφαλαίων προσδιορίζεται ως το μεγαλύτερο από τα ακόλουθα ποσά:</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α) η κεφαλαιακή στάθμιση ειδικού κινδύνου που εφαρμόζεται μόνο στις καθαρές θετικές θέσεις (στήλη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β) η κεφαλαιακή στάθμιση ειδικού κινδύνου που εφαρμόζεται μόνο στις καθαρές αρνητικές θέσεις (στήλη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ΣΥΝΟΛΙΚΑ ΑΝΟΙΓΜΑΤΑ</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lastRenderedPageBreak/>
              <w:t>Συνολικό ποσό εκκρεμών θέσεων (που τηρούνται στο χαρτοφυλάκιο διαπραγμάτευσης συσχετίσεων) τις οποίες αναφέρει το ίδρυμα που διαδραματίζει τον ρόλο της μεταβιβάζουσας οντότητας, του επενδυτή ή της αναδόχου οντότητας.</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Άρθρο 4 παράγραφος 1 σημείο 13 του κανονισμού (ΕΕ) αριθ.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Πιστωτικό ίδρυμα που κατέχει θέση τιτλοποίησης σε συναλλαγή τιτλοποίησης στην οποία δεν είναι ούτε μεταβιβάζουσα οντότητα, ούτε ανάδοχος οντότητα, ούτε αρχικός δανειστής.</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Άρθρο 4 παράγραφος 1 σημείο 14 του κανονισμού (ΕΕ) αριθ.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και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Το χαρτοφυλάκιο διαπραγμάτευσης συσχετίσεων περιλαμβάνει τιτλοποιήσεις, πιστωτικά παράγωγα νιοστού βαθμού αθέτησης και, ενδεχομένως, άλλες θέσεις αντιστάθμισης που πληρούν τα κριτήρια που καθορίζονται στο άρθρο 338 παράγραφοι 2 και 3 του κανονισμού (ΕΕ) αριθ.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Τα 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 περιλαμβάνονται στη γραμμή «Άλλες θέσεις CTP».</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ΠΙΣΤΩΤΙΚΑ ΠΑΡΑΓΩΓΑ ΝΙΟΣΤΟΥ ΒΑΘΜΟΥ ΑΘΕΤΗΣΗΣ</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Στο συγκεκριμένο σημείο αναφέρονται πιστωτικά παράγωγα νιοστού βαθμού αθέτησης που αντισταθμίζονται με πιστωτικά παράγωγα νιοστού βαθμού αθέτησης, σύμφωνα με το άρθρο 347 του κανονισμού (ΕΕ) αριθ. 575/2013.</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θα υπάρχει κατανομή, όπως για τις θέσεις τιτλοποίησης, για τα πιστωτικά παράγωγα νιοστού βαθμού αθέτησης.</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και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ΑΛΛΕΣ ΘΕΣΕΙΣ CTP</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Συμπεριλαμβάνονται οι ακόλουθες θέσεις: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θέσεις του χαρτοφυλακίου διαπραγμάτευσης συσχετίσεων που αντισταθμίζονται από πιστωτικά παράγωγα, σύμφωνα με το άρθρο 346 του κανονισμού (ΕΕ) αριθ.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lastRenderedPageBreak/>
              <w:t>άλλες θέσεις που πληρούν τις απαιτήσεις του άρθρου 338 παράγραφος 3 του κανονισμού (ΕΕ) αριθ.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14194"/>
      <w:r>
        <w:rPr>
          <w:rFonts w:ascii="Times New Roman" w:hAnsi="Times New Roman"/>
          <w:sz w:val="24"/>
          <w:u w:val="none"/>
        </w:rPr>
        <w:t>5.</w:t>
      </w:r>
      <w:r w:rsidRPr="00861C69">
        <w:rPr>
          <w:u w:val="none"/>
        </w:rPr>
        <w:tab/>
      </w:r>
      <w:r>
        <w:rPr>
          <w:rFonts w:ascii="Times New Roman" w:hAnsi="Times New Roman"/>
          <w:sz w:val="24"/>
        </w:rPr>
        <w:t>C 21.00 – Κίνδυνος Αγοράς: Τυποποιημένη προσέγγιση για τον κίνδυνο θέσης σε μετοχικά κεφάλαια</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14195"/>
      <w:r>
        <w:rPr>
          <w:rFonts w:ascii="Times New Roman" w:hAnsi="Times New Roman"/>
          <w:sz w:val="24"/>
          <w:u w:val="none"/>
        </w:rPr>
        <w:t>5.1.</w:t>
      </w:r>
      <w:r w:rsidRPr="00861C69">
        <w:rPr>
          <w:u w:val="none"/>
        </w:rPr>
        <w:tab/>
      </w:r>
      <w:r>
        <w:rPr>
          <w:rFonts w:ascii="Times New Roman" w:hAnsi="Times New Roman"/>
          <w:sz w:val="24"/>
        </w:rPr>
        <w:t>Γενικές παρατηρήσεις</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Στο συγκεκριμένο υπόδειγμα ζητούνται πληροφορίες για τις θέσεις και τις αντίστοιχες απαιτήσεις ιδίων κεφαλαίων για τον κίνδυνο θέσης σε μετοχικά κεφάλαια, που τηρούνται στο χαρτοφυλάκιο συναλλαγών και αντιμετωπίζονται βάσει της τυποποιημένης προσέγγισης.</w:t>
      </w:r>
    </w:p>
    <w:p w14:paraId="3AF5EC7C" w14:textId="570FEDBA" w:rsidR="00B828CC" w:rsidRPr="002D60D7" w:rsidRDefault="000B0B09" w:rsidP="00E172EA">
      <w:pPr>
        <w:pStyle w:val="InstructionsText2"/>
        <w:numPr>
          <w:ilvl w:val="0"/>
          <w:numId w:val="29"/>
        </w:numPr>
        <w:suppressAutoHyphens/>
      </w:pPr>
      <w:r>
        <w:t>Το υπόδειγμα αυτό συμπληρώνεται χωριστά για το «Σύνολο», καθώς και για έναν στατικό προκαθορισμένο κατάλογο των ακόλουθων αγορών: Βουλγαρία, Τσεχική Δημοκρατία, Δανία, Αίγυπτος, Ουγγαρία, Ισλανδία, Λιχτενστάιν, Νορβηγία, Πολωνία, Ρουμανία, Σουηδία, Ηνωμένο Βασίλειο, Αλβανία, Ιαπωνία, πρώην Γιουγκοσλαβική Δημοκρατία της Μακεδονίας, Ρωσική Ομοσπονδία, Σερβία, Ελβετία, Τουρκία, Ουκρανία, ΗΠΑ, Ζώνη του ευρώ, ενώ συμπληρώνεται και ένα εναπομένον υπόδειγμα για όλες τις άλλες αγορές. Για την παρούσα απαίτηση υποβολής αναφοράς, ο όρος «αγορά» σημαίνει «χώρα» (με εξαίρεση τις χώρες που ανήκουν στη ζώνη του ευρώ, βλέπε κατ’ εξουσιοδότηση κανονισμό (ΕΕ) αριθ. 525/2014 της Επιτροπής</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14196"/>
      <w:r>
        <w:rPr>
          <w:rFonts w:ascii="Times New Roman" w:hAnsi="Times New Roman"/>
          <w:sz w:val="24"/>
          <w:u w:val="none"/>
        </w:rPr>
        <w:t>5.2.</w:t>
      </w:r>
      <w:r w:rsidRPr="00861C69">
        <w:rPr>
          <w:u w:val="none"/>
        </w:rPr>
        <w:tab/>
      </w:r>
      <w:r>
        <w:rPr>
          <w:rFonts w:ascii="Times New Roman" w:hAnsi="Times New Roman"/>
          <w:sz w:val="24"/>
        </w:rPr>
        <w:t>Οδηγίες για συγκεκριμένες θέσεις</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Άρθρο 102 και άρθρο 105 παράγραφος 1 του κανονισμού (ΕΕ) αριθ.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Πρόκειται για ακαθάριστες θέσεις που δεν έχουν συμψηφιστεί με τίτλους αφαιρώντας τις θέσεις αναδοχής που έχουν αναληφθεί ή υποαναληφθεί από τρίτους, όπως προβλέπεται στο άρθρο 345 παράγραφος 1 πρώτο εδάφιο δεύτερη περίοδος του εν λόγω κανονισμού.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Άρθρο 327, 329, 332, 341 και 345 του ΚΚΑ του κανονισμού (ΕΕ) αριθ.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 Η κεφαλαιακή </w:t>
            </w:r>
            <w:r>
              <w:rPr>
                <w:rFonts w:ascii="Times New Roman" w:hAnsi="Times New Roman"/>
                <w:sz w:val="24"/>
              </w:rPr>
              <w:lastRenderedPageBreak/>
              <w:t>επιβάρυνση υπολογίζεται χωριστά για κάθε εθνική αγορά. Οι θέσεις σε συμβόλαια μελλοντικής εκπλήρωσης επί δείκτη μετοχών, όπως προβλέπεται στο άρθρο 344 παράγραφος 4 δεύτερη περίοδος του κανονισμού (ΕΕ) αριθ. 575/2013, δεν περιλαμβάνονται στη συγκεκριμένη στήλη.</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Η απαίτηση ιδίων κεφαλαίων σύμφωνα με το τρίτο μέρος τίτλος IV κεφάλαιο 2 του κανονισμού (ΕΕ) αριθ. 575/2013 για κάθε σχετική θέση</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Άρθρο 92 παράγραφος 6 στοιχείο β) του κανονισμού (ΕΕ) αριθ.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Αποτέλεσμα του πολλαπλασιασμού των απαιτήσεων ιδίων κεφαλαίων επί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ΕΝΤΟΣ ΧΑΡΤΟΦΥΛΑΚΙΟΥ ΣΥΝΑΛΛΑΓΩΝ</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Απαιτήσεις ιδίων κεφαλαίων για τον κίνδυνο θέσης, όπως προβλέπεται στο άρθρο 92 παράγραφος 3 στοιχείο β) i) του κανονισμού (ΕΕ) αριθ. 575/2013 και στο τρίτο μέρος τίτλος IV κεφάλαιο 2 τμήμα 3 του εν λόγω κανονισμού</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ΓΕΝΙΚΟΣ ΚΙΝΔΥΝΟΣ</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γενικό κίνδυνο [άρθρο 343 του κανονισμού (ΕΕ) αριθ. 575/2013] και οι αντίστοιχες απαιτήσεις ιδίων κεφαλαίων τους, σύμφωνα με το τρίτο μέρος τίτλος IV κεφάλαιο 2 τμήμα 3 του εν λόγω κανονισμού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Αμφότερες οι κατανομές (γραμμές 0021/0022, καθώς και γραμμές 0030/0040) είναι κατανομές σε σχέση με όλες τις θέσεις που υπόκεινται σε γενικό κίνδυνο.</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Στις γραμμές 0021 και 0022 ζητούνται πληροφορίες σχετικά με την κατανομή ανά μέσο.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Μόνο η κατανομή στις γραμμές 0030 και 0040 χρησιμοποιείται ως βάση για τον υπολογισμό των απαιτήσεων ιδίων κεφαλαίων.</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Παράγωγα</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και 332 του κανονισμού (ΕΕ) αριθ. 575/2013, κατά περίπτωση.</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Άλλα στοιχεία του ενεργητικού και του παθητικού</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μετοχικών τίτλων των θέσεων του χαρτοφυλακίου συναλλαγών.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Διαπραγματεύσιμα στο χρηματιστήριο συμβόλαια μελλοντικής εκπλήρωσης επί δείκτη μετοχών ευρέως διαφοροποιημένα που υπόκεινται σε ειδική προσέγγιση, σύμφωνα με τον εκτελεστικό κανονισμό (ΕΕ) αριθ. 945/2014 της Επιτροπής</w:t>
            </w:r>
            <w:r>
              <w:rPr>
                <w:rStyle w:val="FootnoteReference"/>
              </w:rPr>
              <w:footnoteReference w:id="3"/>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Οι θέσεις αυτές υπόκεινται μόνο σε γενικό κίνδυνο και, επομένως, δεν αναφέρονται στη γραμμή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Άλλες θέσεις σε μετοχές που υπόκεινται σε ειδικό κίνδυνο και οι αντίστοιχες απαιτήσεις ιδίων κεφαλαίων σύμφωνα με το άρθρο 343 του κανονισμού (ΕΕ) αριθ. 575/2013, συμπεριλαμβανομένων των θέσεων σε συμβόλαια μελλοντικής εκπλήρωσης επί δείκτη μετοχών που αντιμετωπίζονται σύμφωνα με το άρθρο 344 παράγραφος 3 του εν λόγω κανονισμού.</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ειδικό κίνδυνο και η αντίστοιχη απαίτηση ιδίων κεφαλαίων σύμφωνα με το άρθρο 342 του κανονισμού (ΕΕ) αριθ. 575/2013, εξαιρουμένων των θέσεων σε συμβόλαια μελλοντικής εκπλήρωσης επί δείκτη μετοχών που αντιμετωπίζονται σύμφωνα με το άρθρο 344 παράγραφος 4 δεύτερη περίοδος του εν λόγω κανονισμού.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Άρθρο 329 παράγραφοι 2 και 3 του κανονισμού (ΕΕ) αριθ.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14197"/>
      <w:r>
        <w:rPr>
          <w:rFonts w:ascii="Times New Roman" w:hAnsi="Times New Roman"/>
          <w:sz w:val="24"/>
          <w:u w:val="none"/>
        </w:rPr>
        <w:t>6.</w:t>
      </w:r>
      <w:r w:rsidRPr="00861C69">
        <w:rPr>
          <w:u w:val="none"/>
        </w:rPr>
        <w:tab/>
      </w:r>
      <w:r>
        <w:rPr>
          <w:rFonts w:ascii="Times New Roman" w:hAnsi="Times New Roman"/>
          <w:sz w:val="24"/>
        </w:rPr>
        <w:t>C 22.00 – Κίνδυνος Αγοράς: Τυποποιημένες προσεγγίσεις για τον κίνδυνο συναλλάγματος</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14198"/>
      <w:r>
        <w:rPr>
          <w:rFonts w:ascii="Times New Roman" w:hAnsi="Times New Roman"/>
          <w:sz w:val="24"/>
          <w:u w:val="none"/>
        </w:rPr>
        <w:t>6.1.</w:t>
      </w:r>
      <w:r w:rsidRPr="00861C69">
        <w:rPr>
          <w:u w:val="none"/>
        </w:rPr>
        <w:tab/>
      </w:r>
      <w:r>
        <w:rPr>
          <w:rFonts w:ascii="Times New Roman" w:hAnsi="Times New Roman"/>
          <w:sz w:val="24"/>
        </w:rPr>
        <w:t>Γενικές παρατηρήσεις</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Οι επιχειρήσεις επενδύσεων αναφέρουν πληροφορίες για τις θέσεις σε κάθε νόμισμα (συμπεριλαμβανομένου του νομίσματος που χρησιμοποιείται για την υποβολή αναφορών) και τις αντίστοιχες απαιτήσεις ιδίων κεφαλαίων για κίνδυνο συναλλάγματος, που αντιμετωπίζονται βάσει της τυποποιημένης προσέγγισης. Η θέση υπολογίζεται για κάθε νόμισμα (συμπεριλαμβανομένου του EUR), για χρυσό και για θέσεις σε ΟΣΕ.</w:t>
      </w:r>
    </w:p>
    <w:p w14:paraId="39EF826C" w14:textId="60814CC7" w:rsidR="000B0B09" w:rsidRPr="002D60D7" w:rsidRDefault="00B31D8A" w:rsidP="00E172EA">
      <w:pPr>
        <w:pStyle w:val="InstructionsText2"/>
        <w:numPr>
          <w:ilvl w:val="0"/>
          <w:numId w:val="29"/>
        </w:numPr>
        <w:suppressAutoHyphens/>
      </w:pPr>
      <w:r>
        <w:t xml:space="preserve">Οι γραμμές 0100 έως 0470 του παρόντος υποδείγματος αναφέρονται όταν οι επιχειρήσεις επενδύσεων έχουν την άδεια να ασκούν τις δραστηριότητες 3 ή 6 που περιλαμβάνονται στο παράρτημα I τμήμα Α της οδηγίας 2014/65/ΕΕ του </w:t>
      </w:r>
      <w:r>
        <w:lastRenderedPageBreak/>
        <w:t>Ευρωπαϊκού Κοινοβουλίου και του Συμβουλίου</w:t>
      </w:r>
      <w:r>
        <w:rPr>
          <w:rStyle w:val="FootnoteReference"/>
        </w:rPr>
        <w:footnoteReference w:id="4"/>
      </w:r>
      <w:r>
        <w:t>, ακόμη και όταν οι εν λόγω επιχειρήσεις επενδύσεων δεν υποχρεούνται να υπολογίζουν τις απαιτήσεις ιδίων κεφαλαίων για τον κίνδυνο συναλλάγματος σύμφωνα με το άρθρο 351 του κανονισμού (ΕΕ) αριθ. 575/2013. Σε αυτά τα υπομνηματικά στοιχεία, όλες οι θέσεις στο νόμισμα που χρησιμοποιείται για την υποβολή αναφορών περιλαμβάνονται στις γραμμές 0100 έως 0470, ανεξάρτητα από το εάν λαμβάνονται υπόψη για τους σκοπούς του άρθρου 354 του κανονισμού (ΕΕ) αριθ. 575/2013. Οι γραμμές 0130 έως 0470 των υπομνηματικών στοιχείων του υποδείγματος συμπληρώνονται χωριστά για όλα τα νομίσματα των κρατών μελών της Ένωσης, τα νομίσματα: GBP, USD, CHF, JPY, RUB, TRY, AUD, CAD, RSD, ALL, UAH, MKD, EGP, ARS, BRL, MXN, HKD, ICK, TWD, NZD, NOK, SGD, KRW, CNY και όλα τα άλλα νομίσματα.</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14199"/>
      <w:r>
        <w:rPr>
          <w:rFonts w:ascii="Times New Roman" w:hAnsi="Times New Roman"/>
          <w:sz w:val="24"/>
          <w:u w:val="none"/>
        </w:rPr>
        <w:t>6.2.</w:t>
      </w:r>
      <w:r w:rsidRPr="00861C69">
        <w:rPr>
          <w:u w:val="none"/>
        </w:rPr>
        <w:tab/>
      </w:r>
      <w:r>
        <w:rPr>
          <w:rFonts w:ascii="Times New Roman" w:hAnsi="Times New Roman"/>
          <w:sz w:val="24"/>
        </w:rPr>
        <w:t>Οδηγίες για συγκεκριμένες θέσεις</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Ακαθάριστες θέσεις λόγω στοιχείων ενεργητικού, ποσών προς είσπραξη και παρόμοιων στοιχείων αναφερόμενων στο άρθρο 352 παράγραφος 1 του κανονισμού (ΕΕ) αριθ.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Σύμφωνα με το άρθρο 352 παράγραφος 2 του κανονισμού (ΕΕ) αριθ. 575/2013 και με την επιφύλαξη της άδειας από τις αρμόδιες αρχές, δεν αναφέρονται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του εν λόγω κανονισμού, και οι θέσεις που αφορούν στοιχεία που έχουν ήδη εκπέσει κατά τον υπολογισμό των ιδίων κεφαλαίων.</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Άρθρο 352 παράγραφος 3, άρθρο 352 παράγραφος 4 πρώτη και δεύτερη περίοδος και άρθρο 353 του κανονισμού (ΕΕ) αριθ.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καθαρές θέσεις υπολογίζονται με βάση κάθε νόμισμα, σύμφωνα με το άρθρο 352 παράγραφος 1 του εν λόγω κανονισμού. Κατά συνέπεια, ενδέχεται να αναφέρονται ταυτόχρονα τόσο θετικές όσο και αρνητικές θέσεις.</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Άρθρο 352 παράγραφος 4 τρίτη περίοδος και άρθρα 353 και 354 του κανονισμού (ΕΕ) αριθ.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ΘΕΣΕΙΣ ΠΟΥ ΥΠΟΚΕΙΝΤΑΙ ΣΕ ΚΕΦΑΛΑΙΑΚΗ ΕΠΙΒΑΡΥΝΣΗ (ΘΕΤΙΚΕΣ ΚΑΙ ΑΡΝΗΤΙΚΕΣ)</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lastRenderedPageBreak/>
              <w:t>Οι θετικές και οι αρνητικές καθαρές θέσεις για κάθε νόμισμα υπολογίζονται αφαιρώντας το σύνολο των αρνητικών θέσεων από το σύνολο των θετικών.</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Οι θετικές καθαρές θέσεις για κάθε πράξη σε ένα νόμισμα προστίθενται για τον υπολογισμό της καθαρής θετικής θέσης στο νόμισμα αυτό.</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Οι αρνητικές καθαρές θέσεις για κάθε πράξη σε ένα νόμισμα προστίθενται για τον υπολογισμό της καθαρής αρνητικής θέσης στο νόμισμα αυτό.</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Οι μη αντιστοιχισμένες θέσεις σε νομίσματα που δεν χρησιμοποιούνται για την υποβολή αναφορών προστίθενται σε θέσεις που υπόκεινται σε κεφαλαιακή επιβάρυνση για άλλα νομίσματα (γραμμή 030) στη στήλη 060 ή 070, ανάλογα με το αν διατάσσονται θετικά ή αρνητικά.</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 (ΑΝΤΙΣΤΟΙΧΙΣΜΕΝΕΣ)</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Αντιστοιχισμένες θέσεις για στενά συσχετιζόμενα νομίσματα.</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Η κεφαλαιακή επιβάρυνση για κάθε σχετική θέση σύμφωνα με το τρίτο μέρος τίτλος IV κεφάλαιο 3 του κανονισμού (ΕΕ) αριθ.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Άρθρο 92 παράγραφος 6 στοιχείο β) του κανονισμού (ΕΕ) αριθ.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Αποτέλεσμα του πολλαπλασιασμού των απαιτήσεων ιδίων κεφαλαίων επί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Όλες οι θέσεις σε νομίσματα που δεν χρησιμοποιούνται για την υποβολή αναφορών και οι θέσεις στο νόμισμα που χρησιμοποιείται για την υποβολή αναφορών, οι οποίες λαμβάνονται υπόψη για τους σκοπούς του άρθρου 354 του κανονισμού (ΕΕ) αριθ. 575/2013 και οι αντίστοιχες απαιτήσεις ιδίων κεφαλαίων για τον κίνδυνο συναλλάγματος όπως προβλέπεται στο άρθρο 92 παράγραφος 3 στοιχείο γ) σημείο i) του εν λόγω κανονισμού, λαμβανομένου υπόψη του άρθρου 352 παράγραφοι 2 και 4 του κανονισμού (ΕΕ) αριθ. 575/2013 (για τη μετατροπή στο νόμισμα που χρησιμοποιείται για την υποβολή αναφορών).</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ΣΤΕΝΑ ΣΥΣΧΕΤΙΖΟΜΕΝΑ ΝΟΜΙΣΜΑΤΑ</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στενά συσχετιζόμενα νομίσματα όπως προβλέπεται στο άρθρο 354 του κανονισμού (ΕΕ) αριθ.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Στενά συσχετιζόμενα νομίσματα: </w:t>
            </w:r>
            <w:r>
              <w:rPr>
                <w:rFonts w:ascii="Times New Roman" w:hAnsi="Times New Roman"/>
                <w:b/>
                <w:i/>
                <w:sz w:val="24"/>
                <w:u w:val="single"/>
              </w:rPr>
              <w:t>εκ των οποίων</w:t>
            </w:r>
            <w:r>
              <w:rPr>
                <w:rFonts w:ascii="Times New Roman" w:hAnsi="Times New Roman"/>
                <w:b/>
                <w:sz w:val="24"/>
                <w:u w:val="single"/>
              </w:rPr>
              <w:t>: νόμισμα που χρησιμοποιείται για την υποβολή αναφορών</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Θέσεις στο νόμισμα που χρησιμοποιείται για την υποβολή αναφορών, οι οποίες συμπεριλαμβάνονται στον υπολογισμό των κεφαλαιακών απαιτήσεων, σύμφωνα με το άρθρο 354 του κανονισμού (ΕΕ) αριθ.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ΟΛΑ ΤΑ ΑΛΛΑ ΝΟΜΙΣΜΑΤΑ (συμπεριλαμβανομένων των ΟΣΕ που αντιμετωπίζονται ως διαφορετικά νομίσματα)</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Υποβολή πληροφοριών για ΟΣΕ που αντιμετωπίζονται ως χωριστά νομίσματα σύμφωνα με το άρθρο 353 του κανονισμού (ΕΕ) αριθ.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Υπάρχουν δύο διαφορετικοί τρόποι αντιμετώπισης των ΟΣΕ που αντιμετωπίζονται ως χωριστά νομίσματα για τον υπολογισμό των κεφαλαιακών απαιτήσεων:</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α) η τροποποιημένη μέθοδος χρυσού, εάν δεν είναι διαθέσιμη η κατεύθυνση της επένδυσης των ΟΣΕ (οι εν λόγω ΟΣΕ προστίθενται στη συνολική καθαρή θέση συναλλάγματος του ιδρύματος)·</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β) 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Η υποβολή πληροφοριών για τους συγκεκριμένους ΟΣΕ συμφωνεί με τον υπολογισμό των κεφαλαιακών απαιτήσεων.</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ΧΡΥΣΟΣ</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Άρθρο 352 παράγραφοι 5 και 6 του κανονισμού (ΕΕ) αριθ.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συνολικές θέσεις κατανέμονται σε παράγωγα, άλλα στοιχεία ενεργητικού και υποχρεώσεις και εκτός ισολογισμού στοιχεία.</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υποχρεώσεις εκτός των στοιχείων και παραγώγων εκτός ισολογισμού</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Στο συγκεκριμένο σημείο αναφέρονται οι θέσεις που δεν περιλαμβάνονται στη γραμμή 0110 ή 0120.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Στοιχεία εκτός ισολογισμού</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Στοιχεία που εμπίπτουν στο πεδίο εφαρμογής του άρθρου 352 του κανονισμού (ΕΕ) αριθ. 575/2013, ανεξάρτητα από το νόμισμα στο οποίο είναι εκφρασμένα, και που περιλαμβάνονται στο παράρτημα I του εν λόγω κανονισμού, με την εξαίρεση όσων περιλαμβάνονται ως συναλλαγές χρηματοδότησης τίτλων &amp; πράξεις με μακρά προθεσμία διακανονισμού ή από συμβατικό συμψηφισμό μεταξύ προϊόντων.</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Παράγωγα</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Θέσεις που αποτιμώνται σύμφωνα με το άρθρο 352 του κανονισμού (ΕΕ) αριθ.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ΥΠΟΜΝΗΜΑΤΙΚΑ ΣΤΟΙΧΕΙΑ: ΘΕΣΕΙΣ ΑΝΑ ΝΟΜΙΣΜΑ</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Τα υπομνηματικά στοιχεία του υποδείγματος συμπληρώνονται χωριστά για όλα τα νομίσματα των κρατών μελών της Ένωσης, GBP, USD, CHF, JPY, RUB, TRY, AUD, CAD, RSD, ALL, UAH, MKD, EGP, ARS, BRL, MXN, HKD, ICK, TWD, NZD, NOK, SGD, KRW, CNY και όλα τα άλλα νομίσματα.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θέσεις σε χρυσό και οι θέσεις σε ΟΣΕ που αντιμετωπίζονται ως ξεχωριστό νόμισμα σύμφωνα με το άρθρο 353 παράγραφος 3 του κανονισμού (ΕΕ) αριθ. 575/2013 περιλαμβάνονται στη γραμμή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14200"/>
      <w:r>
        <w:rPr>
          <w:rFonts w:ascii="Times New Roman" w:hAnsi="Times New Roman"/>
          <w:sz w:val="24"/>
          <w:u w:val="none"/>
        </w:rPr>
        <w:t>7.</w:t>
      </w:r>
      <w:r w:rsidRPr="00861C69">
        <w:rPr>
          <w:u w:val="none"/>
        </w:rPr>
        <w:tab/>
      </w:r>
      <w:r>
        <w:rPr>
          <w:rFonts w:ascii="Times New Roman" w:hAnsi="Times New Roman"/>
          <w:sz w:val="24"/>
        </w:rPr>
        <w:t>C 23.00 – Κίνδυνος Αγοράς: Τυποποιημένες προσεγγίσεις για βασικά εμπορεύματα</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14201"/>
      <w:r>
        <w:rPr>
          <w:rFonts w:ascii="Times New Roman" w:hAnsi="Times New Roman"/>
          <w:sz w:val="24"/>
          <w:u w:val="none"/>
        </w:rPr>
        <w:t>7.1.</w:t>
      </w:r>
      <w:r w:rsidRPr="00861C69">
        <w:rPr>
          <w:u w:val="none"/>
        </w:rPr>
        <w:tab/>
      </w:r>
      <w:r>
        <w:rPr>
          <w:rFonts w:ascii="Times New Roman" w:hAnsi="Times New Roman"/>
          <w:sz w:val="24"/>
        </w:rPr>
        <w:t>Γενικές παρατηρήσεις</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Στο συγκεκριμένο υπόδειγμα ζητούνται πληροφορίες για τις θέσεις σε βασικά εμπορεύματα και τις αντίστοιχες απαιτήσεις ιδίων κεφαλαίων, που αντιμετωπίζονται βάσει της τυποποιημένης προσέγγισης.</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14202"/>
      <w:r>
        <w:rPr>
          <w:rFonts w:ascii="Times New Roman" w:hAnsi="Times New Roman"/>
          <w:sz w:val="24"/>
          <w:u w:val="none"/>
        </w:rPr>
        <w:t>7.2.</w:t>
      </w:r>
      <w:r w:rsidRPr="00861C69">
        <w:rPr>
          <w:u w:val="none"/>
        </w:rPr>
        <w:tab/>
      </w:r>
      <w:r>
        <w:rPr>
          <w:rFonts w:ascii="Times New Roman" w:hAnsi="Times New Roman"/>
          <w:sz w:val="24"/>
        </w:rPr>
        <w:t>Οδηγίες για συγκεκριμένες θέσεις</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Ακαθάριστες θετικές/αρνητικές θέσεις που θεωρούνται θέσεις στο ίδιο βασικό εμπόρευμα, σύμφωνα με το άρθρο 357 παράγραφος 4 του κανονισμού (ΕΕ) </w:t>
            </w:r>
            <w:r>
              <w:rPr>
                <w:rFonts w:ascii="Times New Roman" w:hAnsi="Times New Roman"/>
                <w:sz w:val="24"/>
              </w:rPr>
              <w:lastRenderedPageBreak/>
              <w:t>αριθ. 575/2013 (βλέπε επίσης άρθρο 359 παράγραφος 1 του εν λόγω κανονισμού).</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Όπως αναφέρεται στο άρθρο 357 παράγραφος 3 του κανονισμού (ΕΕ) αριθ.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4 του κανονισμού (ΕΕ) αριθ. 575/2013, υπόκεινται σε κεφαλαιακή επιβάρυνση.</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Η απαίτηση ιδίων κεφαλαίων, υπολογιζόμενη σύμφωνα με το τρίτο μέρος τίτλος IV κεφάλαιο 4 του κανονισμού (ΕΕ) αριθ. 575/2013 για κάθε σχετική θέση</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Άρθρο 92 παράγραφος 6 στοιχείο β) του κανονισμού (ΕΕ) αριθ.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Αποτέλεσμα του πολλαπλασιασμού των απαιτήσεων ιδίων κεφαλαίων επί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 ΣΕ ΒΑΣΙΚΑ ΕΜΠΟΡΕΥΜΑΤΑ</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Θέσεις σε βασικά εμπορεύματα και οι αντίστοιχες απαιτήσεις ιδίων κεφαλαίων τους για τον κίνδυνο αγοράς, υπολογιζόμενες σύμφωνα με το άρθρο 92 παράγραφος 4 στοιχείο γ) του κανονισμού (ΕΕ) αριθ. 575/2013 και το τρίτο μέρος τίτλος IV κεφάλαιο 4 του εν λόγω κανονισμού.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ΑΝΑ ΚΑΤΗΓΟΡΙΑ ΒΑΣΙΚΩΝ ΕΜΠΟΡΕΥΜΑΤΩΝ</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Για τους σκοπούς υποβολής αναφορών, τα βασικά εμπορεύματα ομαδοποιούνται στις τέσσερις ομάδες που αναφέρονται στον πίνακα 2 του άρθρου 361 του κανονισμού (ΕΕ) αριθ.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ΜΕ ΒΑΣΗ ΤΟΝ ΠΙΝΑΚΑ ΛΗΚΤΟΤΗΤΑΣ</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στην προσέγγιση με βάση τον πίνακα ληκτότητας, όπως προβλέπεται στο άρθρο 359 του κανονισμού (ΕΕ) αριθ.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ΔΙΕΥΡΥΜΕΝΗ ΠΡΟΣΕΓΓΙΣΗ ΜΕ ΒΑΣΗ ΤΟΝ ΠΙΝΑΚΑ ΛΗΚΤΟΤΗΤΑΣ</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Θέσεις σε βασικά εμπορεύματα που υπόκεινται στη διευρυμένη προσέγγιση με βάση τον πίνακα ληκτότητας, όπως προβλέπεται στο άρθρο 361 του κανονισμού (ΕΕ) αριθ.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ΑΠΛΟΥΣΤΕΥΜΕΝΗ ΠΡΟΣΕΓΓΙΣΗ</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στην απλουστευμένη προσέγγιση, όπως προβλέπεται στο άρθρο 360 του κανονισμού (ΕΕ) αριθ.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Άρθρο 358 παράγραφος 4 του κανονισμού (ΕΕ) αριθ.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14203"/>
      <w:r>
        <w:rPr>
          <w:rFonts w:ascii="Times New Roman" w:hAnsi="Times New Roman"/>
          <w:sz w:val="24"/>
        </w:rPr>
        <w:t>8.</w:t>
      </w:r>
      <w:r>
        <w:tab/>
      </w:r>
      <w:r>
        <w:rPr>
          <w:rFonts w:ascii="Times New Roman" w:hAnsi="Times New Roman"/>
          <w:sz w:val="24"/>
        </w:rPr>
        <w:t>C 24.00 – Εσωτερικό υπόδειγμα κινδύνου αγοράς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14204"/>
      <w:r>
        <w:rPr>
          <w:rFonts w:ascii="Times New Roman" w:hAnsi="Times New Roman"/>
          <w:sz w:val="24"/>
          <w:u w:val="none"/>
        </w:rPr>
        <w:t>8.1.</w:t>
      </w:r>
      <w:r w:rsidRPr="00861C69">
        <w:rPr>
          <w:u w:val="none"/>
        </w:rPr>
        <w:tab/>
      </w:r>
      <w:r>
        <w:rPr>
          <w:rFonts w:ascii="Times New Roman" w:hAnsi="Times New Roman"/>
          <w:sz w:val="24"/>
        </w:rPr>
        <w:t>Γενικές παρατηρήσεις</w:t>
      </w:r>
      <w:bookmarkEnd w:id="159"/>
      <w:bookmarkEnd w:id="160"/>
    </w:p>
    <w:p w14:paraId="2B3D1454" w14:textId="708078C0" w:rsidR="005970B6" w:rsidRPr="002D60D7" w:rsidRDefault="005970B6" w:rsidP="00E172EA">
      <w:pPr>
        <w:pStyle w:val="InstructionsText2"/>
        <w:numPr>
          <w:ilvl w:val="0"/>
          <w:numId w:val="29"/>
        </w:numPr>
        <w:suppressAutoHyphens/>
      </w:pPr>
      <w:r>
        <w:t>Στο συγκεκριμένο υπόδειγμα παρουσιάζεται η κατανομή των τιμών δυνητικής ζημίας (VaR) και δυνητικής ζημίας ακραίων συνθηκών (sVaR), με βάση τους διαφόρους κινδύνους αγοράς (χρεωστικοί τίτλοι, μετοχικοί τίτλοι, συνάλλαγμα, βασικά εμπορεύματα), και άλλες πληροφορίες που αφορούν τον υπολογισμό των απαιτήσεων ιδίων κεφαλαίων.</w:t>
      </w:r>
    </w:p>
    <w:p w14:paraId="6141A6DE" w14:textId="106A2D11" w:rsidR="005970B6" w:rsidRDefault="005970B6" w:rsidP="00E172EA">
      <w:pPr>
        <w:pStyle w:val="InstructionsText2"/>
        <w:numPr>
          <w:ilvl w:val="0"/>
          <w:numId w:val="29"/>
        </w:numPr>
        <w:suppressAutoHyphens/>
      </w:pPr>
      <w:r>
        <w:t xml:space="preserve">Γενικά, εξαρτάται από τη δομή του υποδείγματος των επιχειρήσεων επενδύσεων, δηλαδή από το εάν τα στοιχεία για τον γενικό και τον ειδικό κίνδυνο μπορούν να καθοριστούν και να υποβληθούν χωριστά ή μόνον ως σύνολο. Το ίδιο ισχύει για την ανάλυση της δυνητικής ζημίας/δυνητικής ζημίας ακραίων συνθηκών στις κατηγορίες κινδύνου (κίνδυνος επιτοκίου, κίνδυνος μετοχικών τίτλων, κίνδυνος βασικού εμπορεύματος και κίνδυνος συναλλάγματος). Ένα ίδρυμα δύναται να αποφύγει την υποβολή αυτών των αναλύσεων, εάν αποδείξει ότι η αναφορά των εν λόγω στοιχείων είναι υπερβολικά επαχθής.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14205"/>
      <w:r>
        <w:rPr>
          <w:rFonts w:ascii="Times New Roman" w:hAnsi="Times New Roman"/>
          <w:sz w:val="24"/>
          <w:u w:val="none"/>
        </w:rPr>
        <w:t>8.2.</w:t>
      </w:r>
      <w:r w:rsidRPr="00861C69">
        <w:rPr>
          <w:u w:val="none"/>
        </w:rPr>
        <w:tab/>
      </w:r>
      <w:r>
        <w:rPr>
          <w:rFonts w:ascii="Times New Roman" w:hAnsi="Times New Roman"/>
          <w:sz w:val="24"/>
        </w:rPr>
        <w:t>Οδηγίες για συγκεκριμένες θέσεις</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Στήλες</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(mc) x Μέσος όρος της δυνητικής ζημίας των προηγούμενων 60 εργάσιμων ημερών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Άρθρο 364 παράγραφος 1 στοιχείο α) σημείο ii) και άρθρο 365 παράγραφος 1 του κανονισμού (ΕΕ) αριθ.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προηγούμενης ημέρας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 και άρθρο 365 παράγραφος 1 του κανονισμού (ΕΕ) αριθ.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ακραίων συνθηκών (sVaR)</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χρηματοοικονομικών συνθηκών συναφών προς το χαρτοφυλάκιο του ιδρύματος.</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(ms) x Μέσος όρος της δυνητικής ζημίας ακραίων συνθηκών των προηγούμενων 60 εργάσιμων ημερών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Άρθρο 364 παράγραφος 1 στοιχείο β) σημείο ii) και άρθρο 365 παράγραφος 1 του κανονισμού (ΕΕ) αριθ.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διαθέσιμη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β) σημείο i) και άρθρο 365 παράγραφος 1 του κανονισμού (ΕΕ) αριθ.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ΕΠΙΠΡΟΣΘΕΤΟΥΣ ΚΙΝΔΥΝΟΥΣ ΑΘΕΤΗΣΗΣ ΚΑΙ ΜΕΤΑΒΟΛΗΣ ΤΗΣ ΠΙΣΤΟΛΗΠΤΙΚΗΣ ΑΞΙΟΛΟΓΗΣΗΣ</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Ως πρόσθετη κεφαλαιακή επιβάρυνση για κινδύνους αθέτησης και μεταβολής της πιστοληπτικής αξιολόγησης ορίζεται η μέγιστη ενδεχόμενη ζημία που θα προέκυπτε από μεταβολή τιμών συνδεδεμένη με κινδύνους αθέτησης και μεταβολής της πιστοληπτικής αξιολόγησης, η οποία υπολογίζεται σύμφωνα με το άρθρο 364 παράγραφος 2 στοιχείο β), σε συνδυασμό με το τρίτο μέρος τίτλος IV κεφάλαιο 5 τμήμα 4 του κανονισμού (ΕΕ) αριθ.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Μέση μέτρηση 12 εβδομάδων</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ii) σε συνδυασμό με το τρίτο μέρος τίτλος IV κεφάλαιο 5 τμήμα 4 του κανονισμού (ΕΕ) αριθ.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μέτρηση</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 σε συνδυασμό με το τρίτο μέρος τίτλος IV κεφάλαιο 5 τμήμα 4 του κανονισμού (ΕΕ) αριθ.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ΟΛΟΥΣ ΤΟΥΣ ΚΙΝΔΥΝΟΥΣ ΤΙΜΩΝ ΓΙΑ ΤΟ ΧΑΡΤΟΦΥΛΑΚΙΟ ΔΙΑΠΡΑΓΜΑΤΕΥΣΗΣ ΣΥΣΧΕΤΙΣΕΩΝ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ΚΑΤΩΤΑΤΟ ΟΡΙΟ</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Άρθρο 364 παράγραφος 3 στοιχείο γ) του κανονισμού (ΕΕ) αριθ.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της κεφαλαιακής επιβάρυνσης που υπολογίζεται σύμφωνα με το άρθρο 338 παράγραφος 1 του κανονισμού (ΕΕ) αριθ. 575/2013 για όλες τις θέσεις στην κεφαλαιακή επιβάρυνση για όλους τους κινδύνους τιμών.</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ΜΕΣΗ ΜΕΤΡΗΣΗ 12 ΕΒΔΟΜΑΔΩΝ ΚΑΙ ΤΕΛΕΥΤΑΙΑ ΜΕΤΡΗΣΗ</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Άρθρο 364 παράγραφος 3 στοιχείο β) του κανονισμού (ΕΕ) αριθ.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ΤΕΛΕΥΤΑΙΑ ΜΕΤΡΗΣΗ</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Άρθρο 364 παράγραφος 3 στοιχείο α) του κανονισμού (ΕΕ) αριθ.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Απαιτήσεις ιδίων κεφαλαίων όπως προβλέπεται στο άρθρο 364 του κανονισμού (ΕΕ) αριθ. 575/2013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αξιολόγησης και όλους τους κινδύνους τιμών για το χαρτοφυλάκιο διαπραγμάτευσης συσχετίσεων, με την εξαίρεση της κεφαλαιακής επιβάρυνσης τιτλοποίησης για τιτλοποιήσεις και πιστωτικά παράγωγα νιοστού βαθμού αθέτησης, σύμφωνα με το άρθρο 364 παράγραφος 2 του εν λόγω κανονισμού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Άρθρο 92 παράγραφος 6 στοιχείο β) του κανονισμού (ΕΕ) αριθ.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Αποτέλεσμα του πολλαπλασιασμού των απαιτήσεων ιδίων κεφαλαίων επί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Αριθμός υπερβάσεων (κατά τις προηγούμενες 250 εργάσιμες ημέρες)</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Αναφέρεται στο άρθρο 366 του κανονισμού (ΕΕ) αριθ.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Αναφέρεται ο αριθμός υπερβάσεων βάσει των οποίων προσδιορίζεται ο προσθετέος. Όταν επιτρέπεται στις επιχειρήσεις επενδύσεων να εξαιρούν συγκεκριμένες υπερβάσεις από τον υπολογισμό του προσθετέου σύμφωνα με το άρθρο 500γ του κανονισμού (ΕΕ) αριθ. 575/2013, ο αριθμός των υπερβάσεων που αναφέρεται στη στήλη αυτή είναι μετά τις εν λόγω εξαιρούμενες υπερβάσεις.</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Πολλαπλασιαστικός συντελεστής δυνητικής ζημίας (mc) και πολλαπλασιαστικός συντελεστής δυνητικής ζημίας ακραίων συνθηκών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Όπως αναφέρεται στο άρθρο 366 του κανονισμού (ΕΕ) αριθ.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Αναφέρονται οι πολλαπλασιαστικοί συντελεστές που εφαρμόζονται στην πράξη για τον υπολογισμό των απαιτήσεων ιδίων κεφαλαίων, κατά περίπτωση, μετά την εφαρμογή του άρθρου 500γ του κανονισμού (ΕΕ) αριθ.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ΕΚΤΙΜΩΜΕΝΗ ΕΠΙΒΑΡΥΝΣΗ ΓΙΑ ΤΟ ΚΑΤΩΤΑΤΟ ΟΡΙΟ CTP – ΣΤΑΘΜΙΣΜΕΝΕΣ ΚΑΘΑΡΕΣ ΘΕΤΙΚΕΣ / ΑΡΝΗΤΙΚΕΣ ΘΕΣΕΙΣ ΜΕΤΑ ΤΟ ΑΝΩΤΑΤΟ ΟΡΙΟ</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Το ποσό που αναφέρεται και χρησιμεύει ως βάση για τον υπολογισμό της κεφαλαιακής επιβάρυνσης κατώτατου ορίου για όλους τους κινδύνους τιμών, σύμφωνα με το άρθρο 364 παράγραφος 3 στοιχείο γ) του κανονισμού (ΕΕ) αριθ. 575/2013, λαμβανομένης υπόψη της διακριτικής ευχέρειας του άρθρου 335 του εν λόγω κανονισμού, που ορίζει ότι το ίδρυμα δύναται να θέσει ανώτατο όριο στο γινόμενο του συντελεστή στάθμισης επί την καθαρή θέση το οποίο δεν θα υπερβαίνει τη μέγιστη πιθανή ζημία που σχετίζεται με τον κίνδυνο αθέτησης.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Αντιστοιχεί στο μέρος του κινδύνου θέσης, συναλλάγματος και βασικού εμπορεύματος, που αναφέρεται στο άρθρο 363 παράγραφος 1 του κανονισμού (ΕΕ) αριθ. 575/2013, το οποίο συνδέεται με τους παράγοντες κινδύνου που αναφέρονται στο άρθρο 367 παράγραφος 2 του εν λόγω κανονισμού.</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Όσον αφορά τις στήλες 0030 έως 0060 (δυνητική ζημία και δυνητική ζημία ακραίων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επιτοκίου που αναφέρονται στο άρθρο 367 παράγραφος 2 στοιχείο α) του εν λόγω κανονισμού.</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ΓΕΝΙΚΟΣ ΚΙΝΔΥΝΟΣ</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Το σκέλος γενικού κινδύνου όπως αναφέρεται στο άρθρο 362 του κανονισμού (ΕΕ) αριθ.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ΕΙΔΙΚΟΣ ΚΙΝΔΥΝΟΣ</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αναφέρεται στο άρθρο 362 του κανονισμού (ΕΕ) αριθ.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μετοχικών τίτλων που αναφέρονται στο άρθρο 367 παράγραφος 2 στοιχείο γ) του εν λόγω κανονισμού.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ΓΕΝΙΚΟΣ ΚΙΝΔΥΝΟΣ</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Το σκέλος γενικού κινδύνου όπως αναφέρεται στο άρθρο 362 του κανονισμού (ΕΕ) αριθ.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ΕΙΔΙΚΟΣ ΚΙΝΔΥΝΟΣ</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αναφέρεται στο άρθρο 362 του κανονισμού (ΕΕ) αριθ.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ΣΥΝΑΛΛΑΓΜΑΤΟΣ</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Άρθρο 363 παράγραφος 1 και άρθρο 367 παράγραφος 2 στοιχείο β) του κανονισμού (ΕΕ) αριθ.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ΒΑΣΙΚΩΝ ΕΜΠΟΡΕΥΜΑΤΩΝ</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Άρθρο 363 παράγραφος 1 και άρθρο 367 παράγραφος 2 στοιχείο δ) του κανονισμού (ΕΕ) αριθ.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ΓΕΝΙΚΟ ΚΙΝΔΥΝΟ</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Κίνδυνος αγοράς που προκαλείται από γενικές κινήσεις αγοράς διαπραγματεύσιμων χρεωστικών τίτλων, μετοχών, συναλλάγματος και βασικών εμπορευμάτων. Δυνητική ζημία για τον γενικό κίνδυνο όλων των παραγόντων κινδύνου (λαμβανομένων υπόψη των επιπτώσεων των συσχετίσεων, κατά περίπτωση).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ΕΙΔΙΚΟ ΚΙΝΔΥΝΟ</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Συνιστώσα ειδικού κινδύνου διαπραγματεύσιμων χρεωστικών τίτλων και μετοχών. Δυνητική ζημία για τον ειδικό κίνδυνο μετοχικών τίτλων και διαπραγματεύσιμων χρεωστικών τίτλων του χαρτοφυλακίου συναλλαγών (λαμβανομένων υπόψη των επιπτώσεων των συσχετίσεων, κατά περίπτωση).</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DA853" w14:textId="77777777" w:rsidR="00853599" w:rsidRDefault="00853599" w:rsidP="00D946DB">
      <w:pPr>
        <w:spacing w:before="0" w:after="0"/>
      </w:pPr>
      <w:r>
        <w:separator/>
      </w:r>
    </w:p>
  </w:endnote>
  <w:endnote w:type="continuationSeparator" w:id="0">
    <w:p w14:paraId="76D5E224" w14:textId="77777777" w:rsidR="00853599" w:rsidRDefault="00853599" w:rsidP="00D946DB">
      <w:pPr>
        <w:spacing w:before="0" w:after="0"/>
      </w:pPr>
      <w:r>
        <w:continuationSeparator/>
      </w:r>
    </w:p>
  </w:endnote>
  <w:endnote w:type="continuationNotice" w:id="1">
    <w:p w14:paraId="7BD82994" w14:textId="77777777" w:rsidR="00853599" w:rsidRDefault="008535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EC Square Sans Cond Pro">
    <w:panose1 w:val="020B05060400000200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104CE" w14:textId="77777777" w:rsidR="00853599" w:rsidRDefault="00853599" w:rsidP="00D946DB">
      <w:pPr>
        <w:spacing w:before="0" w:after="0"/>
      </w:pPr>
      <w:r>
        <w:separator/>
      </w:r>
    </w:p>
  </w:footnote>
  <w:footnote w:type="continuationSeparator" w:id="0">
    <w:p w14:paraId="53059EA9" w14:textId="77777777" w:rsidR="00853599" w:rsidRDefault="00853599" w:rsidP="00D946DB">
      <w:pPr>
        <w:spacing w:before="0" w:after="0"/>
      </w:pPr>
      <w:r>
        <w:continuationSeparator/>
      </w:r>
    </w:p>
  </w:footnote>
  <w:footnote w:type="continuationNotice" w:id="1">
    <w:p w14:paraId="598058AB" w14:textId="77777777" w:rsidR="00853599" w:rsidRDefault="00853599">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Κατ’ εξουσιοδότηση κανονισμός (ΕΕ) αριθ. 525/2014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ορισμό της αγοράς (ΕΕ L 148 της 20.5.2014, σ.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Εκτελεστικός κανονισμός (ΕΕ) αριθ. 945/2014 της Επιτροπής, της 4ης Σεπτεμβρίου 2014, για τον καθορισμό εκτελεστικών τεχνικών προτύπων όσον αφορά συναφείς κατάλληλα διαφοροποιημένους δείκτες σύμφωνα με τον κανονισμό (ΕΕ) αριθ. 575/2013 του Ευρωπαϊκού Κοινοβουλίου και του Συμβουλίου (ΕΕ L 265 της 5.9.2014, σ.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Οδηγία 2014/65/ΕΕ </w:t>
      </w:r>
      <w:bookmarkStart w:id="129" w:name="_Hlk204078738"/>
      <w:r>
        <w:t>του Ευρωπαϊκού Κοινοβουλίου και του Συμβουλίου</w:t>
      </w:r>
      <w:bookmarkEnd w:id="129"/>
      <w:r>
        <w:t>, της 15ης Μαΐου 2014, για τις αγορές χρηματοπιστωτικών μέσων και την τροποποίηση της οδηγίας 2002/92/ΕΚ και της οδηγίας 2011/61/ΕΕ (ΕΕ L 173 της 12.6.2014, σ.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ΕΑΤ τακτική χρήση"/>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ΕΑΤ τακτική χρήση"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ΕΑΤ τακτική χρήση"/>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ΕΑΤ τακτική χρήση"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ΕΑΤ τακτική χρήση"/>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ΕΑΤ τακτική χρήση"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49162576"/>
    <w:lvl w:ilvl="0" w:tplc="BE38F9EC">
      <w:start w:val="1"/>
      <mc:AlternateContent>
        <mc:Choice Requires="w14">
          <w:numFmt w:val="custom" w:format="α, β, γ, ..."/>
        </mc:Choice>
        <mc:Fallback>
          <w:numFmt w:val="decimal"/>
        </mc:Fallback>
      </mc:AlternateContent>
      <w:lvlText w:val="%1)"/>
      <w:lvlJc w:val="left"/>
      <w:pPr>
        <w:ind w:left="1080" w:hanging="360"/>
      </w:pPr>
      <w:rPr>
        <w:rFonts w:ascii="Times New Roman" w:hAnsi="Times New Roman" w:cs="EC Square Sans Cond Pro" w:hint="default"/>
        <w:b w:val="0"/>
        <w:bCs w:val="0"/>
        <w:i w:val="0"/>
        <w:iCs w:val="0"/>
        <w:spacing w:val="-1"/>
        <w:w w:val="100"/>
        <w:sz w:val="24"/>
        <w:szCs w:val="24"/>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A9F"/>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145"/>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A71"/>
    <w:rsid w:val="00517EE9"/>
    <w:rsid w:val="00520B00"/>
    <w:rsid w:val="005217BE"/>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7CA"/>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3599"/>
    <w:rsid w:val="00854146"/>
    <w:rsid w:val="00854E5A"/>
    <w:rsid w:val="0085520E"/>
    <w:rsid w:val="00855D5F"/>
    <w:rsid w:val="00855EAC"/>
    <w:rsid w:val="008564FF"/>
    <w:rsid w:val="00856854"/>
    <w:rsid w:val="0085692D"/>
    <w:rsid w:val="00856E42"/>
    <w:rsid w:val="00860B35"/>
    <w:rsid w:val="0086119A"/>
    <w:rsid w:val="00861C69"/>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2CD0"/>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3AB6"/>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75DD7EF5-F4B4-4298-BB10-9571695752A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112</TotalTime>
  <Pages>25</Pages>
  <Words>8113</Words>
  <Characters>44219</Characters>
  <Application>Microsoft Office Word</Application>
  <DocSecurity>0</DocSecurity>
  <Lines>1300</Lines>
  <Paragraphs>769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PAPASTEFANOU Iliofotisti (DGT)</cp:lastModifiedBy>
  <cp:revision>10</cp:revision>
  <dcterms:created xsi:type="dcterms:W3CDTF">2025-10-06T12:40:00Z</dcterms:created>
  <dcterms:modified xsi:type="dcterms:W3CDTF">2025-10-09T13:43:00Z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